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8E2" w:rsidRPr="005D569A" w:rsidRDefault="009258E2" w:rsidP="009258E2">
      <w:pPr>
        <w:pStyle w:val="Title"/>
        <w:rPr>
          <w:b w:val="0"/>
          <w:bCs w:val="0"/>
          <w:sz w:val="23"/>
          <w:szCs w:val="23"/>
        </w:rPr>
      </w:pPr>
      <w:r w:rsidRPr="005D569A">
        <w:rPr>
          <w:b w:val="0"/>
          <w:bCs w:val="0"/>
          <w:sz w:val="23"/>
          <w:szCs w:val="23"/>
        </w:rPr>
        <w:t>LATVIJAS REPUBLIKA</w:t>
      </w:r>
    </w:p>
    <w:p w:rsidR="009258E2" w:rsidRPr="005D569A" w:rsidRDefault="009258E2" w:rsidP="009258E2">
      <w:pPr>
        <w:pStyle w:val="Title"/>
        <w:rPr>
          <w:sz w:val="23"/>
          <w:szCs w:val="23"/>
        </w:rPr>
      </w:pPr>
      <w:r w:rsidRPr="005D569A">
        <w:rPr>
          <w:sz w:val="23"/>
          <w:szCs w:val="23"/>
        </w:rPr>
        <w:t>Daugavpils pilsētas dome</w:t>
      </w:r>
    </w:p>
    <w:p w:rsidR="009258E2" w:rsidRPr="005D569A" w:rsidRDefault="009258E2" w:rsidP="009258E2">
      <w:pPr>
        <w:pStyle w:val="Title"/>
        <w:rPr>
          <w:b w:val="0"/>
          <w:bCs w:val="0"/>
          <w:caps w:val="0"/>
          <w:sz w:val="23"/>
          <w:szCs w:val="23"/>
        </w:rPr>
      </w:pPr>
      <w:proofErr w:type="spellStart"/>
      <w:r w:rsidRPr="005D569A">
        <w:rPr>
          <w:b w:val="0"/>
          <w:bCs w:val="0"/>
          <w:caps w:val="0"/>
          <w:sz w:val="23"/>
          <w:szCs w:val="23"/>
        </w:rPr>
        <w:t>reģ.Nr</w:t>
      </w:r>
      <w:proofErr w:type="spellEnd"/>
      <w:r w:rsidRPr="005D569A">
        <w:rPr>
          <w:b w:val="0"/>
          <w:bCs w:val="0"/>
          <w:caps w:val="0"/>
          <w:sz w:val="23"/>
          <w:szCs w:val="23"/>
        </w:rPr>
        <w:t>. 90000077325</w:t>
      </w:r>
    </w:p>
    <w:p w:rsidR="009258E2" w:rsidRPr="005D569A" w:rsidRDefault="009258E2" w:rsidP="009258E2">
      <w:pPr>
        <w:pStyle w:val="Title"/>
        <w:rPr>
          <w:caps w:val="0"/>
          <w:sz w:val="23"/>
          <w:szCs w:val="23"/>
        </w:rPr>
      </w:pPr>
      <w:proofErr w:type="spellStart"/>
      <w:r w:rsidRPr="005D569A">
        <w:rPr>
          <w:b w:val="0"/>
          <w:bCs w:val="0"/>
          <w:caps w:val="0"/>
          <w:sz w:val="23"/>
          <w:szCs w:val="23"/>
        </w:rPr>
        <w:t>K.Valdemāra</w:t>
      </w:r>
      <w:proofErr w:type="spellEnd"/>
      <w:r w:rsidRPr="005D569A">
        <w:rPr>
          <w:b w:val="0"/>
          <w:bCs w:val="0"/>
          <w:caps w:val="0"/>
          <w:sz w:val="23"/>
          <w:szCs w:val="23"/>
        </w:rPr>
        <w:t xml:space="preserve"> iela 1, Daugavpils, LV-5401</w:t>
      </w:r>
    </w:p>
    <w:p w:rsidR="009258E2" w:rsidRPr="005D569A" w:rsidRDefault="009258E2" w:rsidP="009258E2">
      <w:pPr>
        <w:jc w:val="center"/>
        <w:rPr>
          <w:bCs/>
          <w:caps/>
          <w:sz w:val="23"/>
          <w:szCs w:val="23"/>
          <w:lang w:val="lv-LV"/>
        </w:rPr>
      </w:pPr>
    </w:p>
    <w:p w:rsidR="00143CAD" w:rsidRPr="005D569A" w:rsidRDefault="00143CAD" w:rsidP="00143CAD">
      <w:pPr>
        <w:jc w:val="center"/>
        <w:rPr>
          <w:bCs/>
          <w:sz w:val="23"/>
          <w:szCs w:val="23"/>
          <w:lang w:val="lv-LV"/>
        </w:rPr>
      </w:pPr>
      <w:r w:rsidRPr="005D569A">
        <w:rPr>
          <w:bCs/>
          <w:sz w:val="23"/>
          <w:szCs w:val="23"/>
          <w:lang w:val="lv-LV"/>
        </w:rPr>
        <w:t>Iepirkums Publisko iepirkumu likuma 8</w:t>
      </w:r>
      <w:r w:rsidRPr="005D569A">
        <w:rPr>
          <w:bCs/>
          <w:sz w:val="23"/>
          <w:szCs w:val="23"/>
          <w:vertAlign w:val="superscript"/>
          <w:lang w:val="lv-LV"/>
        </w:rPr>
        <w:t>2</w:t>
      </w:r>
      <w:r w:rsidRPr="005D569A">
        <w:rPr>
          <w:bCs/>
          <w:sz w:val="23"/>
          <w:szCs w:val="23"/>
          <w:lang w:val="lv-LV"/>
        </w:rPr>
        <w:t>.pantā noteiktajā kārtībā</w:t>
      </w:r>
    </w:p>
    <w:p w:rsidR="00143CAD" w:rsidRPr="005D569A" w:rsidRDefault="00143CAD" w:rsidP="00143CAD">
      <w:pPr>
        <w:jc w:val="center"/>
        <w:rPr>
          <w:b/>
          <w:bCs/>
          <w:sz w:val="23"/>
          <w:szCs w:val="23"/>
        </w:rPr>
      </w:pPr>
      <w:r w:rsidRPr="005D569A">
        <w:rPr>
          <w:b/>
          <w:bCs/>
          <w:sz w:val="23"/>
          <w:szCs w:val="23"/>
          <w:lang w:val="lv-LV"/>
        </w:rPr>
        <w:t>„</w:t>
      </w:r>
      <w:proofErr w:type="spellStart"/>
      <w:r w:rsidRPr="005D569A">
        <w:rPr>
          <w:b/>
          <w:bCs/>
          <w:sz w:val="23"/>
          <w:szCs w:val="23"/>
        </w:rPr>
        <w:t>Revīzijas</w:t>
      </w:r>
      <w:proofErr w:type="spellEnd"/>
      <w:r w:rsidRPr="005D569A">
        <w:rPr>
          <w:b/>
          <w:bCs/>
          <w:sz w:val="23"/>
          <w:szCs w:val="23"/>
        </w:rPr>
        <w:t xml:space="preserve"> </w:t>
      </w:r>
      <w:proofErr w:type="spellStart"/>
      <w:r w:rsidRPr="005D569A">
        <w:rPr>
          <w:b/>
          <w:bCs/>
          <w:sz w:val="23"/>
          <w:szCs w:val="23"/>
        </w:rPr>
        <w:t>veikšana</w:t>
      </w:r>
      <w:proofErr w:type="spellEnd"/>
      <w:r w:rsidRPr="005D569A">
        <w:rPr>
          <w:b/>
          <w:bCs/>
          <w:sz w:val="23"/>
          <w:szCs w:val="23"/>
        </w:rPr>
        <w:t xml:space="preserve"> un </w:t>
      </w:r>
      <w:proofErr w:type="spellStart"/>
      <w:r w:rsidRPr="005D569A">
        <w:rPr>
          <w:b/>
          <w:bCs/>
          <w:sz w:val="23"/>
          <w:szCs w:val="23"/>
        </w:rPr>
        <w:t>zvērināta</w:t>
      </w:r>
      <w:proofErr w:type="spellEnd"/>
      <w:r w:rsidRPr="005D569A">
        <w:rPr>
          <w:b/>
          <w:bCs/>
          <w:sz w:val="23"/>
          <w:szCs w:val="23"/>
        </w:rPr>
        <w:t xml:space="preserve"> </w:t>
      </w:r>
      <w:proofErr w:type="spellStart"/>
      <w:r w:rsidRPr="005D569A">
        <w:rPr>
          <w:b/>
          <w:bCs/>
          <w:sz w:val="23"/>
          <w:szCs w:val="23"/>
        </w:rPr>
        <w:t>revidenta</w:t>
      </w:r>
      <w:proofErr w:type="spellEnd"/>
      <w:r w:rsidRPr="005D569A">
        <w:rPr>
          <w:b/>
          <w:bCs/>
          <w:sz w:val="23"/>
          <w:szCs w:val="23"/>
        </w:rPr>
        <w:t xml:space="preserve"> </w:t>
      </w:r>
      <w:proofErr w:type="spellStart"/>
      <w:r w:rsidRPr="005D569A">
        <w:rPr>
          <w:b/>
          <w:bCs/>
          <w:sz w:val="23"/>
          <w:szCs w:val="23"/>
        </w:rPr>
        <w:t>ziņojuma</w:t>
      </w:r>
      <w:proofErr w:type="spellEnd"/>
      <w:r w:rsidRPr="005D569A">
        <w:rPr>
          <w:b/>
          <w:bCs/>
          <w:sz w:val="23"/>
          <w:szCs w:val="23"/>
        </w:rPr>
        <w:t xml:space="preserve"> </w:t>
      </w:r>
      <w:proofErr w:type="spellStart"/>
      <w:r w:rsidRPr="005D569A">
        <w:rPr>
          <w:b/>
          <w:bCs/>
          <w:sz w:val="23"/>
          <w:szCs w:val="23"/>
        </w:rPr>
        <w:t>sniegšana</w:t>
      </w:r>
      <w:proofErr w:type="spellEnd"/>
      <w:r w:rsidRPr="005D569A">
        <w:rPr>
          <w:b/>
          <w:bCs/>
          <w:sz w:val="23"/>
          <w:szCs w:val="23"/>
        </w:rPr>
        <w:t xml:space="preserve"> </w:t>
      </w:r>
    </w:p>
    <w:p w:rsidR="00143CAD" w:rsidRPr="005D569A" w:rsidRDefault="00143CAD" w:rsidP="00143CAD">
      <w:pPr>
        <w:jc w:val="center"/>
        <w:rPr>
          <w:bCs/>
          <w:sz w:val="23"/>
          <w:szCs w:val="23"/>
          <w:lang w:val="lv-LV"/>
        </w:rPr>
      </w:pPr>
      <w:proofErr w:type="gramStart"/>
      <w:r w:rsidRPr="005D569A">
        <w:rPr>
          <w:b/>
          <w:bCs/>
          <w:sz w:val="23"/>
          <w:szCs w:val="23"/>
        </w:rPr>
        <w:t>par</w:t>
      </w:r>
      <w:proofErr w:type="gramEnd"/>
      <w:r w:rsidRPr="005D569A">
        <w:rPr>
          <w:b/>
          <w:bCs/>
          <w:sz w:val="23"/>
          <w:szCs w:val="23"/>
        </w:rPr>
        <w:t xml:space="preserve"> Daugavpils pilsētas </w:t>
      </w:r>
      <w:proofErr w:type="spellStart"/>
      <w:r w:rsidRPr="005D569A">
        <w:rPr>
          <w:b/>
          <w:bCs/>
          <w:sz w:val="23"/>
          <w:szCs w:val="23"/>
        </w:rPr>
        <w:t>pašvaldības</w:t>
      </w:r>
      <w:proofErr w:type="spellEnd"/>
      <w:r w:rsidRPr="005D569A">
        <w:rPr>
          <w:b/>
          <w:bCs/>
          <w:sz w:val="23"/>
          <w:szCs w:val="23"/>
        </w:rPr>
        <w:t xml:space="preserve"> 2016.gada </w:t>
      </w:r>
      <w:proofErr w:type="spellStart"/>
      <w:r w:rsidRPr="005D569A">
        <w:rPr>
          <w:b/>
          <w:bCs/>
          <w:sz w:val="23"/>
          <w:szCs w:val="23"/>
        </w:rPr>
        <w:t>konsolidēto</w:t>
      </w:r>
      <w:proofErr w:type="spellEnd"/>
      <w:r w:rsidRPr="005D569A">
        <w:rPr>
          <w:b/>
          <w:bCs/>
          <w:sz w:val="23"/>
          <w:szCs w:val="23"/>
        </w:rPr>
        <w:t xml:space="preserve"> </w:t>
      </w:r>
      <w:proofErr w:type="spellStart"/>
      <w:r w:rsidRPr="005D569A">
        <w:rPr>
          <w:b/>
          <w:bCs/>
          <w:sz w:val="23"/>
          <w:szCs w:val="23"/>
        </w:rPr>
        <w:t>pārskatu</w:t>
      </w:r>
      <w:proofErr w:type="spellEnd"/>
      <w:r w:rsidRPr="005D569A">
        <w:rPr>
          <w:b/>
          <w:sz w:val="23"/>
          <w:szCs w:val="23"/>
          <w:lang w:val="lv-LV"/>
        </w:rPr>
        <w:t>”</w:t>
      </w:r>
    </w:p>
    <w:p w:rsidR="003B35B3" w:rsidRPr="005D569A" w:rsidRDefault="00143CAD" w:rsidP="00143CAD">
      <w:pPr>
        <w:jc w:val="center"/>
        <w:rPr>
          <w:sz w:val="23"/>
          <w:szCs w:val="23"/>
          <w:lang w:val="lv-LV"/>
        </w:rPr>
      </w:pPr>
      <w:r w:rsidRPr="005D569A">
        <w:rPr>
          <w:sz w:val="23"/>
          <w:szCs w:val="23"/>
          <w:lang w:val="lv-LV"/>
        </w:rPr>
        <w:t>identifikācijas numurs DPD 2016/162</w:t>
      </w:r>
    </w:p>
    <w:p w:rsidR="003B35B3" w:rsidRPr="005D569A" w:rsidRDefault="003B35B3" w:rsidP="003B35B3">
      <w:pPr>
        <w:rPr>
          <w:sz w:val="23"/>
          <w:szCs w:val="23"/>
          <w:lang w:val="lv-LV"/>
        </w:rPr>
      </w:pPr>
    </w:p>
    <w:p w:rsidR="003B35B3" w:rsidRPr="005D569A" w:rsidRDefault="003B35B3" w:rsidP="003B35B3">
      <w:pPr>
        <w:keepNext/>
        <w:jc w:val="center"/>
        <w:outlineLvl w:val="0"/>
        <w:rPr>
          <w:b/>
          <w:bCs/>
          <w:sz w:val="23"/>
          <w:szCs w:val="23"/>
          <w:lang w:val="lv-LV"/>
        </w:rPr>
      </w:pPr>
      <w:r w:rsidRPr="005D569A">
        <w:rPr>
          <w:b/>
          <w:bCs/>
          <w:sz w:val="23"/>
          <w:szCs w:val="23"/>
          <w:lang w:val="lv-LV"/>
        </w:rPr>
        <w:t>Iepirkuma komisijas sēdes protokols Nr.</w:t>
      </w:r>
      <w:r w:rsidR="00143CAD" w:rsidRPr="005D569A">
        <w:rPr>
          <w:b/>
          <w:bCs/>
          <w:sz w:val="23"/>
          <w:szCs w:val="23"/>
          <w:lang w:val="lv-LV"/>
        </w:rPr>
        <w:t>4</w:t>
      </w:r>
    </w:p>
    <w:p w:rsidR="003B35B3" w:rsidRPr="005D569A" w:rsidRDefault="003B35B3" w:rsidP="003B35B3">
      <w:pPr>
        <w:jc w:val="center"/>
        <w:rPr>
          <w:sz w:val="23"/>
          <w:szCs w:val="23"/>
          <w:lang w:val="lv-LV"/>
        </w:rPr>
      </w:pPr>
    </w:p>
    <w:p w:rsidR="003B35B3" w:rsidRPr="005D569A" w:rsidRDefault="003B35B3" w:rsidP="003B35B3">
      <w:pPr>
        <w:rPr>
          <w:sz w:val="23"/>
          <w:szCs w:val="23"/>
          <w:lang w:val="lv-LV"/>
        </w:rPr>
      </w:pPr>
      <w:r w:rsidRPr="005D569A">
        <w:rPr>
          <w:sz w:val="23"/>
          <w:szCs w:val="23"/>
          <w:lang w:val="lv-LV"/>
        </w:rPr>
        <w:t xml:space="preserve">2016.gada </w:t>
      </w:r>
      <w:r w:rsidR="00143CAD" w:rsidRPr="005D569A">
        <w:rPr>
          <w:sz w:val="23"/>
          <w:szCs w:val="23"/>
          <w:lang w:val="lv-LV"/>
        </w:rPr>
        <w:t>26</w:t>
      </w:r>
      <w:r w:rsidRPr="005D569A">
        <w:rPr>
          <w:sz w:val="23"/>
          <w:szCs w:val="23"/>
          <w:lang w:val="lv-LV"/>
        </w:rPr>
        <w:t>.septembrī</w:t>
      </w:r>
    </w:p>
    <w:p w:rsidR="003B35B3" w:rsidRPr="005D569A" w:rsidRDefault="003B35B3" w:rsidP="003B35B3">
      <w:pPr>
        <w:tabs>
          <w:tab w:val="left" w:pos="720"/>
          <w:tab w:val="center" w:pos="4153"/>
          <w:tab w:val="right" w:pos="8306"/>
        </w:tabs>
        <w:rPr>
          <w:sz w:val="23"/>
          <w:szCs w:val="23"/>
          <w:lang w:val="lv-LV"/>
        </w:rPr>
      </w:pPr>
    </w:p>
    <w:p w:rsidR="003B35B3" w:rsidRPr="005D569A" w:rsidRDefault="003B35B3" w:rsidP="003B35B3">
      <w:pPr>
        <w:rPr>
          <w:sz w:val="23"/>
          <w:szCs w:val="23"/>
          <w:lang w:val="lv-LV"/>
        </w:rPr>
      </w:pPr>
      <w:r w:rsidRPr="005D569A">
        <w:rPr>
          <w:sz w:val="23"/>
          <w:szCs w:val="23"/>
          <w:lang w:val="lv-LV"/>
        </w:rPr>
        <w:t xml:space="preserve">SĒDE NOTIEK Daugavpilī, </w:t>
      </w:r>
      <w:proofErr w:type="spellStart"/>
      <w:r w:rsidRPr="005D569A">
        <w:rPr>
          <w:sz w:val="23"/>
          <w:szCs w:val="23"/>
          <w:lang w:val="lv-LV"/>
        </w:rPr>
        <w:t>K.Valdemāra</w:t>
      </w:r>
      <w:proofErr w:type="spellEnd"/>
      <w:r w:rsidRPr="005D569A">
        <w:rPr>
          <w:sz w:val="23"/>
          <w:szCs w:val="23"/>
          <w:lang w:val="lv-LV"/>
        </w:rPr>
        <w:t xml:space="preserve"> ielā 1, 306. kabinetā</w:t>
      </w:r>
    </w:p>
    <w:p w:rsidR="003B35B3" w:rsidRPr="005D569A" w:rsidRDefault="003B35B3" w:rsidP="003B35B3">
      <w:pPr>
        <w:tabs>
          <w:tab w:val="left" w:pos="720"/>
          <w:tab w:val="center" w:pos="4153"/>
          <w:tab w:val="right" w:pos="8306"/>
        </w:tabs>
        <w:rPr>
          <w:sz w:val="23"/>
          <w:szCs w:val="23"/>
          <w:lang w:val="lv-LV"/>
        </w:rPr>
      </w:pPr>
      <w:r w:rsidRPr="005D569A">
        <w:rPr>
          <w:sz w:val="23"/>
          <w:szCs w:val="23"/>
          <w:lang w:val="lv-LV"/>
        </w:rPr>
        <w:t xml:space="preserve">SĒDE SĀKAS plkst. </w:t>
      </w:r>
      <w:r w:rsidR="004A3F4E">
        <w:rPr>
          <w:sz w:val="23"/>
          <w:szCs w:val="23"/>
          <w:lang w:val="lv-LV"/>
        </w:rPr>
        <w:t>15</w:t>
      </w:r>
      <w:r w:rsidRPr="005D569A">
        <w:rPr>
          <w:sz w:val="23"/>
          <w:szCs w:val="23"/>
          <w:lang w:val="lv-LV"/>
        </w:rPr>
        <w:t>.</w:t>
      </w:r>
      <w:r w:rsidR="004A3F4E">
        <w:rPr>
          <w:sz w:val="23"/>
          <w:szCs w:val="23"/>
          <w:lang w:val="lv-LV"/>
        </w:rPr>
        <w:t>00</w:t>
      </w:r>
      <w:r w:rsidRPr="005D569A">
        <w:rPr>
          <w:sz w:val="23"/>
          <w:szCs w:val="23"/>
          <w:lang w:val="lv-LV"/>
        </w:rPr>
        <w:t>.</w:t>
      </w:r>
    </w:p>
    <w:p w:rsidR="003B35B3" w:rsidRPr="005D569A" w:rsidRDefault="003B35B3" w:rsidP="003B35B3">
      <w:pPr>
        <w:spacing w:after="120"/>
        <w:rPr>
          <w:sz w:val="23"/>
          <w:szCs w:val="23"/>
          <w:lang w:val="lv-LV"/>
        </w:rPr>
      </w:pPr>
      <w:r w:rsidRPr="005D569A">
        <w:rPr>
          <w:sz w:val="23"/>
          <w:szCs w:val="23"/>
          <w:lang w:val="lv-LV"/>
        </w:rPr>
        <w:t>SĒDĒ PIEDALĀS:</w:t>
      </w:r>
    </w:p>
    <w:tbl>
      <w:tblPr>
        <w:tblW w:w="9322" w:type="dxa"/>
        <w:tblLook w:val="0000" w:firstRow="0" w:lastRow="0" w:firstColumn="0" w:lastColumn="0" w:noHBand="0" w:noVBand="0"/>
      </w:tblPr>
      <w:tblGrid>
        <w:gridCol w:w="3369"/>
        <w:gridCol w:w="5670"/>
        <w:gridCol w:w="283"/>
      </w:tblGrid>
      <w:tr w:rsidR="00143CAD" w:rsidRPr="005D569A" w:rsidTr="00E97112">
        <w:tc>
          <w:tcPr>
            <w:tcW w:w="3369" w:type="dxa"/>
          </w:tcPr>
          <w:p w:rsidR="00143CAD" w:rsidRPr="005D569A" w:rsidRDefault="00143CAD" w:rsidP="00E97112">
            <w:pPr>
              <w:spacing w:after="120"/>
              <w:rPr>
                <w:sz w:val="23"/>
                <w:szCs w:val="23"/>
                <w:lang w:val="lv-LV"/>
              </w:rPr>
            </w:pPr>
            <w:r w:rsidRPr="005D569A">
              <w:rPr>
                <w:sz w:val="23"/>
                <w:szCs w:val="23"/>
                <w:lang w:val="lv-LV"/>
              </w:rPr>
              <w:t>Komisijas priekšsēdētāja</w:t>
            </w:r>
          </w:p>
          <w:p w:rsidR="00143CAD" w:rsidRPr="005D569A" w:rsidRDefault="00143CAD" w:rsidP="00E97112">
            <w:pPr>
              <w:spacing w:after="120"/>
              <w:rPr>
                <w:sz w:val="23"/>
                <w:szCs w:val="23"/>
                <w:lang w:val="lv-LV"/>
              </w:rPr>
            </w:pPr>
          </w:p>
        </w:tc>
        <w:tc>
          <w:tcPr>
            <w:tcW w:w="5953" w:type="dxa"/>
            <w:gridSpan w:val="2"/>
          </w:tcPr>
          <w:p w:rsidR="00143CAD" w:rsidRPr="005D569A" w:rsidRDefault="00143CAD" w:rsidP="00E97112">
            <w:pPr>
              <w:spacing w:after="120"/>
              <w:ind w:right="175"/>
              <w:jc w:val="both"/>
              <w:rPr>
                <w:sz w:val="23"/>
                <w:szCs w:val="23"/>
                <w:lang w:val="lv-LV"/>
              </w:rPr>
            </w:pPr>
            <w:proofErr w:type="spellStart"/>
            <w:r w:rsidRPr="005D569A">
              <w:rPr>
                <w:sz w:val="23"/>
                <w:szCs w:val="23"/>
                <w:lang w:val="lv-LV"/>
              </w:rPr>
              <w:t>Jurate</w:t>
            </w:r>
            <w:proofErr w:type="spellEnd"/>
            <w:r w:rsidRPr="005D569A">
              <w:rPr>
                <w:sz w:val="23"/>
                <w:szCs w:val="23"/>
                <w:lang w:val="lv-LV"/>
              </w:rPr>
              <w:t xml:space="preserve"> </w:t>
            </w:r>
            <w:proofErr w:type="spellStart"/>
            <w:r w:rsidRPr="005D569A">
              <w:rPr>
                <w:sz w:val="23"/>
                <w:szCs w:val="23"/>
                <w:lang w:val="lv-LV"/>
              </w:rPr>
              <w:t>Kornutjaka</w:t>
            </w:r>
            <w:proofErr w:type="spellEnd"/>
            <w:r w:rsidRPr="005D569A">
              <w:rPr>
                <w:sz w:val="23"/>
                <w:szCs w:val="23"/>
                <w:lang w:val="lv-LV"/>
              </w:rPr>
              <w:t xml:space="preserve"> – Daugavpils pilsētas domes Centralizēto iepirkumu nodaļas vadītāja,</w:t>
            </w:r>
          </w:p>
        </w:tc>
      </w:tr>
      <w:tr w:rsidR="00143CAD" w:rsidRPr="005D569A" w:rsidTr="00E97112">
        <w:tc>
          <w:tcPr>
            <w:tcW w:w="3369" w:type="dxa"/>
          </w:tcPr>
          <w:p w:rsidR="00143CAD" w:rsidRPr="005D569A" w:rsidRDefault="00143CAD" w:rsidP="00E97112">
            <w:pPr>
              <w:spacing w:after="120"/>
              <w:rPr>
                <w:sz w:val="23"/>
                <w:szCs w:val="23"/>
                <w:lang w:val="lv-LV"/>
              </w:rPr>
            </w:pPr>
            <w:r w:rsidRPr="005D569A">
              <w:rPr>
                <w:sz w:val="23"/>
                <w:szCs w:val="23"/>
                <w:lang w:val="lv-LV"/>
              </w:rPr>
              <w:t>Komisijas locekļi:</w:t>
            </w:r>
          </w:p>
          <w:p w:rsidR="00143CAD" w:rsidRPr="005D569A" w:rsidRDefault="00143CAD" w:rsidP="00E97112">
            <w:pPr>
              <w:spacing w:after="120"/>
              <w:rPr>
                <w:sz w:val="23"/>
                <w:szCs w:val="23"/>
                <w:lang w:val="lv-LV"/>
              </w:rPr>
            </w:pPr>
          </w:p>
        </w:tc>
        <w:tc>
          <w:tcPr>
            <w:tcW w:w="5953" w:type="dxa"/>
            <w:gridSpan w:val="2"/>
          </w:tcPr>
          <w:p w:rsidR="00143CAD" w:rsidRPr="005D569A" w:rsidRDefault="00143CAD" w:rsidP="00E97112">
            <w:pPr>
              <w:spacing w:after="120"/>
              <w:ind w:right="175"/>
              <w:jc w:val="both"/>
              <w:rPr>
                <w:sz w:val="23"/>
                <w:szCs w:val="23"/>
              </w:rPr>
            </w:pPr>
            <w:r w:rsidRPr="005D569A">
              <w:rPr>
                <w:sz w:val="23"/>
                <w:szCs w:val="23"/>
              </w:rPr>
              <w:t xml:space="preserve">Jurijs Bārtuls – </w:t>
            </w:r>
            <w:r w:rsidRPr="005D569A">
              <w:rPr>
                <w:sz w:val="23"/>
                <w:szCs w:val="23"/>
                <w:lang w:val="lv-LV"/>
              </w:rPr>
              <w:t>Daugavpils pilsētas domes Centralizēto iepirkumu nodaļas jurists</w:t>
            </w:r>
            <w:r w:rsidRPr="005D569A">
              <w:rPr>
                <w:sz w:val="23"/>
                <w:szCs w:val="23"/>
              </w:rPr>
              <w:t>,</w:t>
            </w:r>
          </w:p>
          <w:p w:rsidR="00143CAD" w:rsidRPr="005D569A" w:rsidRDefault="00143CAD" w:rsidP="00E97112">
            <w:pPr>
              <w:spacing w:after="120"/>
              <w:ind w:right="175"/>
              <w:jc w:val="both"/>
              <w:rPr>
                <w:sz w:val="23"/>
                <w:szCs w:val="23"/>
              </w:rPr>
            </w:pPr>
            <w:r w:rsidRPr="005D569A">
              <w:rPr>
                <w:sz w:val="23"/>
                <w:szCs w:val="23"/>
              </w:rPr>
              <w:t xml:space="preserve">Inga </w:t>
            </w:r>
            <w:proofErr w:type="spellStart"/>
            <w:r w:rsidRPr="005D569A">
              <w:rPr>
                <w:sz w:val="23"/>
                <w:szCs w:val="23"/>
              </w:rPr>
              <w:t>Zarāne</w:t>
            </w:r>
            <w:proofErr w:type="spellEnd"/>
            <w:r w:rsidRPr="005D569A">
              <w:rPr>
                <w:sz w:val="23"/>
                <w:szCs w:val="23"/>
              </w:rPr>
              <w:t xml:space="preserve"> – Daugavpils pilsētas domes </w:t>
            </w:r>
            <w:proofErr w:type="spellStart"/>
            <w:r w:rsidRPr="005D569A">
              <w:rPr>
                <w:sz w:val="23"/>
                <w:szCs w:val="23"/>
              </w:rPr>
              <w:t>Centralizēto</w:t>
            </w:r>
            <w:proofErr w:type="spellEnd"/>
            <w:r w:rsidRPr="005D569A">
              <w:rPr>
                <w:sz w:val="23"/>
                <w:szCs w:val="23"/>
              </w:rPr>
              <w:t xml:space="preserve"> </w:t>
            </w:r>
            <w:proofErr w:type="spellStart"/>
            <w:r w:rsidRPr="005D569A">
              <w:rPr>
                <w:sz w:val="23"/>
                <w:szCs w:val="23"/>
              </w:rPr>
              <w:t>iepirkumu</w:t>
            </w:r>
            <w:proofErr w:type="spellEnd"/>
            <w:r w:rsidRPr="005D569A">
              <w:rPr>
                <w:sz w:val="23"/>
                <w:szCs w:val="23"/>
              </w:rPr>
              <w:t xml:space="preserve"> </w:t>
            </w:r>
            <w:proofErr w:type="spellStart"/>
            <w:r w:rsidRPr="005D569A">
              <w:rPr>
                <w:sz w:val="23"/>
                <w:szCs w:val="23"/>
              </w:rPr>
              <w:t>nodaļas</w:t>
            </w:r>
            <w:proofErr w:type="spellEnd"/>
            <w:r w:rsidRPr="005D569A">
              <w:rPr>
                <w:sz w:val="23"/>
                <w:szCs w:val="23"/>
              </w:rPr>
              <w:t xml:space="preserve"> </w:t>
            </w:r>
            <w:proofErr w:type="spellStart"/>
            <w:r w:rsidRPr="005D569A">
              <w:rPr>
                <w:sz w:val="23"/>
                <w:szCs w:val="23"/>
              </w:rPr>
              <w:t>ekonomiste</w:t>
            </w:r>
            <w:proofErr w:type="spellEnd"/>
            <w:r w:rsidRPr="005D569A">
              <w:rPr>
                <w:sz w:val="23"/>
                <w:szCs w:val="23"/>
              </w:rPr>
              <w:t>,</w:t>
            </w:r>
          </w:p>
          <w:p w:rsidR="00143CAD" w:rsidRPr="005D569A" w:rsidRDefault="00143CAD" w:rsidP="00E97112">
            <w:pPr>
              <w:spacing w:after="120"/>
              <w:ind w:right="175"/>
              <w:jc w:val="both"/>
              <w:rPr>
                <w:sz w:val="23"/>
                <w:szCs w:val="23"/>
              </w:rPr>
            </w:pPr>
            <w:proofErr w:type="spellStart"/>
            <w:r w:rsidRPr="005D569A">
              <w:rPr>
                <w:sz w:val="23"/>
                <w:szCs w:val="23"/>
              </w:rPr>
              <w:t>Evelīna</w:t>
            </w:r>
            <w:proofErr w:type="spellEnd"/>
            <w:r w:rsidRPr="005D569A">
              <w:rPr>
                <w:sz w:val="23"/>
                <w:szCs w:val="23"/>
              </w:rPr>
              <w:t xml:space="preserve"> </w:t>
            </w:r>
            <w:proofErr w:type="spellStart"/>
            <w:r w:rsidRPr="005D569A">
              <w:rPr>
                <w:sz w:val="23"/>
                <w:szCs w:val="23"/>
              </w:rPr>
              <w:t>Ugarinko</w:t>
            </w:r>
            <w:proofErr w:type="spellEnd"/>
            <w:r w:rsidRPr="005D569A">
              <w:rPr>
                <w:sz w:val="23"/>
                <w:szCs w:val="23"/>
              </w:rPr>
              <w:t xml:space="preserve"> – Daugavpils pilsētas domes </w:t>
            </w:r>
            <w:proofErr w:type="spellStart"/>
            <w:r w:rsidRPr="005D569A">
              <w:rPr>
                <w:sz w:val="23"/>
                <w:szCs w:val="23"/>
              </w:rPr>
              <w:t>Centralizēto</w:t>
            </w:r>
            <w:proofErr w:type="spellEnd"/>
            <w:r w:rsidRPr="005D569A">
              <w:rPr>
                <w:sz w:val="23"/>
                <w:szCs w:val="23"/>
              </w:rPr>
              <w:t xml:space="preserve"> </w:t>
            </w:r>
            <w:proofErr w:type="spellStart"/>
            <w:r w:rsidRPr="005D569A">
              <w:rPr>
                <w:sz w:val="23"/>
                <w:szCs w:val="23"/>
              </w:rPr>
              <w:t>iepirkumu</w:t>
            </w:r>
            <w:proofErr w:type="spellEnd"/>
            <w:r w:rsidRPr="005D569A">
              <w:rPr>
                <w:sz w:val="23"/>
                <w:szCs w:val="23"/>
              </w:rPr>
              <w:t xml:space="preserve"> </w:t>
            </w:r>
            <w:proofErr w:type="spellStart"/>
            <w:r w:rsidRPr="005D569A">
              <w:rPr>
                <w:sz w:val="23"/>
                <w:szCs w:val="23"/>
              </w:rPr>
              <w:t>nodaļas</w:t>
            </w:r>
            <w:proofErr w:type="spellEnd"/>
            <w:r w:rsidRPr="005D569A">
              <w:rPr>
                <w:sz w:val="23"/>
                <w:szCs w:val="23"/>
              </w:rPr>
              <w:t xml:space="preserve"> </w:t>
            </w:r>
            <w:proofErr w:type="spellStart"/>
            <w:r w:rsidRPr="005D569A">
              <w:rPr>
                <w:sz w:val="23"/>
                <w:szCs w:val="23"/>
              </w:rPr>
              <w:t>Galvenā</w:t>
            </w:r>
            <w:proofErr w:type="spellEnd"/>
            <w:r w:rsidRPr="005D569A">
              <w:rPr>
                <w:sz w:val="23"/>
                <w:szCs w:val="23"/>
              </w:rPr>
              <w:t xml:space="preserve"> </w:t>
            </w:r>
            <w:proofErr w:type="spellStart"/>
            <w:r w:rsidRPr="005D569A">
              <w:rPr>
                <w:sz w:val="23"/>
                <w:szCs w:val="23"/>
              </w:rPr>
              <w:t>grāmatvede</w:t>
            </w:r>
            <w:proofErr w:type="spellEnd"/>
            <w:r w:rsidRPr="005D569A">
              <w:rPr>
                <w:sz w:val="23"/>
                <w:szCs w:val="23"/>
              </w:rPr>
              <w:t>.</w:t>
            </w:r>
          </w:p>
        </w:tc>
      </w:tr>
      <w:tr w:rsidR="00143CAD" w:rsidRPr="005D569A" w:rsidTr="00E97112">
        <w:trPr>
          <w:gridAfter w:val="1"/>
          <w:wAfter w:w="283" w:type="dxa"/>
        </w:trPr>
        <w:tc>
          <w:tcPr>
            <w:tcW w:w="3369" w:type="dxa"/>
          </w:tcPr>
          <w:p w:rsidR="00143CAD" w:rsidRPr="005D569A" w:rsidRDefault="00143CAD" w:rsidP="00E97112">
            <w:pPr>
              <w:spacing w:after="120"/>
              <w:rPr>
                <w:sz w:val="23"/>
                <w:szCs w:val="23"/>
                <w:lang w:val="lv-LV"/>
              </w:rPr>
            </w:pPr>
            <w:r w:rsidRPr="005D569A">
              <w:rPr>
                <w:sz w:val="23"/>
                <w:szCs w:val="23"/>
                <w:lang w:val="lv-LV"/>
              </w:rPr>
              <w:t xml:space="preserve">PROTOKOLĒ komisijas loceklis: </w:t>
            </w:r>
          </w:p>
        </w:tc>
        <w:tc>
          <w:tcPr>
            <w:tcW w:w="5670" w:type="dxa"/>
          </w:tcPr>
          <w:p w:rsidR="00143CAD" w:rsidRPr="005D569A" w:rsidRDefault="00143CAD" w:rsidP="00E97112">
            <w:pPr>
              <w:pStyle w:val="Header"/>
              <w:tabs>
                <w:tab w:val="clear" w:pos="4153"/>
                <w:tab w:val="clear" w:pos="8306"/>
              </w:tabs>
              <w:spacing w:after="120"/>
              <w:jc w:val="both"/>
              <w:rPr>
                <w:sz w:val="23"/>
                <w:szCs w:val="23"/>
                <w:lang w:val="lv-LV"/>
              </w:rPr>
            </w:pPr>
            <w:r w:rsidRPr="005D569A">
              <w:rPr>
                <w:sz w:val="23"/>
                <w:szCs w:val="23"/>
                <w:lang w:val="lv-LV"/>
              </w:rPr>
              <w:t xml:space="preserve">Jurijs Bārtuls.  </w:t>
            </w:r>
          </w:p>
        </w:tc>
      </w:tr>
    </w:tbl>
    <w:p w:rsidR="00143CAD" w:rsidRPr="005D569A" w:rsidRDefault="00143CAD" w:rsidP="00143CAD">
      <w:pPr>
        <w:spacing w:after="120"/>
        <w:jc w:val="both"/>
        <w:rPr>
          <w:sz w:val="23"/>
          <w:szCs w:val="23"/>
          <w:lang w:val="lv-LV"/>
        </w:rPr>
      </w:pPr>
      <w:r w:rsidRPr="005D569A">
        <w:rPr>
          <w:sz w:val="23"/>
          <w:szCs w:val="23"/>
          <w:lang w:val="lv-LV"/>
        </w:rPr>
        <w:t>Komisijas izveidošanas pamats: Daugavpils pilsētas domes izpilddirektores 2016.gada 8.septembra rīkojums Nr.298.</w:t>
      </w:r>
    </w:p>
    <w:p w:rsidR="003B35B3" w:rsidRPr="005D569A" w:rsidRDefault="009F08E8" w:rsidP="003B35B3">
      <w:pPr>
        <w:pStyle w:val="virsrakstiparastie"/>
        <w:keepNext w:val="0"/>
        <w:jc w:val="both"/>
        <w:rPr>
          <w:b w:val="0"/>
          <w:bCs w:val="0"/>
          <w:sz w:val="23"/>
          <w:szCs w:val="23"/>
          <w:lang w:val="en-US" w:eastAsia="en-US"/>
        </w:rPr>
      </w:pPr>
      <w:r w:rsidRPr="009F08E8">
        <w:rPr>
          <w:sz w:val="23"/>
          <w:szCs w:val="23"/>
        </w:rPr>
        <w:t>Iepirkums izsludināts:</w:t>
      </w:r>
      <w:r w:rsidRPr="00173CE8">
        <w:rPr>
          <w:b w:val="0"/>
          <w:sz w:val="23"/>
          <w:szCs w:val="23"/>
        </w:rPr>
        <w:t xml:space="preserve"> Paziņojums par plānoto līgumu ievietots Iepirkumu uzraudzības biroja mājas lapā – 2016.gada 8.septembrī. Iepirkuma nolikums ievietots Daugavpils pilsētas pašvaldības mājas lapā –  2016.gada 8.septembrī</w:t>
      </w:r>
      <w:r w:rsidR="003B35B3" w:rsidRPr="005D569A">
        <w:rPr>
          <w:b w:val="0"/>
          <w:bCs w:val="0"/>
          <w:sz w:val="23"/>
          <w:szCs w:val="23"/>
          <w:lang w:eastAsia="en-US"/>
        </w:rPr>
        <w:t>.</w:t>
      </w:r>
    </w:p>
    <w:p w:rsidR="003517F0" w:rsidRPr="005D569A" w:rsidRDefault="003517F0" w:rsidP="003517F0">
      <w:pPr>
        <w:spacing w:after="120"/>
        <w:jc w:val="both"/>
        <w:rPr>
          <w:sz w:val="23"/>
          <w:szCs w:val="23"/>
          <w:lang w:val="lv-LV"/>
        </w:rPr>
      </w:pPr>
      <w:proofErr w:type="spellStart"/>
      <w:r w:rsidRPr="005D569A">
        <w:rPr>
          <w:bCs/>
          <w:sz w:val="23"/>
          <w:szCs w:val="23"/>
        </w:rPr>
        <w:t>Datums</w:t>
      </w:r>
      <w:proofErr w:type="spellEnd"/>
      <w:r w:rsidRPr="005D569A">
        <w:rPr>
          <w:bCs/>
          <w:sz w:val="23"/>
          <w:szCs w:val="23"/>
        </w:rPr>
        <w:t xml:space="preserve">, </w:t>
      </w:r>
      <w:proofErr w:type="spellStart"/>
      <w:r w:rsidRPr="005D569A">
        <w:rPr>
          <w:bCs/>
          <w:sz w:val="23"/>
          <w:szCs w:val="23"/>
        </w:rPr>
        <w:t>kad</w:t>
      </w:r>
      <w:proofErr w:type="spellEnd"/>
      <w:r w:rsidRPr="005D569A">
        <w:rPr>
          <w:bCs/>
          <w:sz w:val="23"/>
          <w:szCs w:val="23"/>
        </w:rPr>
        <w:t xml:space="preserve"> </w:t>
      </w:r>
      <w:proofErr w:type="spellStart"/>
      <w:r w:rsidRPr="005D569A">
        <w:rPr>
          <w:bCs/>
          <w:sz w:val="23"/>
          <w:szCs w:val="23"/>
        </w:rPr>
        <w:t>pieņemts</w:t>
      </w:r>
      <w:proofErr w:type="spellEnd"/>
      <w:r w:rsidRPr="005D569A">
        <w:rPr>
          <w:bCs/>
          <w:sz w:val="23"/>
          <w:szCs w:val="23"/>
        </w:rPr>
        <w:t xml:space="preserve"> </w:t>
      </w:r>
      <w:proofErr w:type="spellStart"/>
      <w:r w:rsidRPr="005D569A">
        <w:rPr>
          <w:bCs/>
          <w:sz w:val="23"/>
          <w:szCs w:val="23"/>
        </w:rPr>
        <w:t>lēmums</w:t>
      </w:r>
      <w:proofErr w:type="spellEnd"/>
      <w:r w:rsidRPr="005D569A">
        <w:rPr>
          <w:bCs/>
          <w:sz w:val="23"/>
          <w:szCs w:val="23"/>
        </w:rPr>
        <w:t xml:space="preserve"> par </w:t>
      </w:r>
      <w:proofErr w:type="spellStart"/>
      <w:r w:rsidRPr="005D569A">
        <w:rPr>
          <w:bCs/>
          <w:sz w:val="23"/>
          <w:szCs w:val="23"/>
        </w:rPr>
        <w:t>iespējamu</w:t>
      </w:r>
      <w:proofErr w:type="spellEnd"/>
      <w:r w:rsidRPr="005D569A">
        <w:rPr>
          <w:bCs/>
          <w:sz w:val="23"/>
          <w:szCs w:val="23"/>
        </w:rPr>
        <w:t xml:space="preserve"> </w:t>
      </w:r>
      <w:proofErr w:type="spellStart"/>
      <w:r w:rsidRPr="005D569A">
        <w:rPr>
          <w:bCs/>
          <w:sz w:val="23"/>
          <w:szCs w:val="23"/>
        </w:rPr>
        <w:t>līguma</w:t>
      </w:r>
      <w:proofErr w:type="spellEnd"/>
      <w:r w:rsidRPr="005D569A">
        <w:rPr>
          <w:bCs/>
          <w:sz w:val="23"/>
          <w:szCs w:val="23"/>
        </w:rPr>
        <w:t xml:space="preserve"> </w:t>
      </w:r>
      <w:proofErr w:type="spellStart"/>
      <w:r w:rsidRPr="005D569A">
        <w:rPr>
          <w:bCs/>
          <w:sz w:val="23"/>
          <w:szCs w:val="23"/>
        </w:rPr>
        <w:t>slēgšanas</w:t>
      </w:r>
      <w:proofErr w:type="spellEnd"/>
      <w:r w:rsidRPr="005D569A">
        <w:rPr>
          <w:bCs/>
          <w:sz w:val="23"/>
          <w:szCs w:val="23"/>
        </w:rPr>
        <w:t xml:space="preserve"> </w:t>
      </w:r>
      <w:proofErr w:type="spellStart"/>
      <w:r w:rsidRPr="005D569A">
        <w:rPr>
          <w:bCs/>
          <w:sz w:val="23"/>
          <w:szCs w:val="23"/>
        </w:rPr>
        <w:t>tiesību</w:t>
      </w:r>
      <w:proofErr w:type="spellEnd"/>
      <w:r w:rsidRPr="005D569A">
        <w:rPr>
          <w:bCs/>
          <w:sz w:val="23"/>
          <w:szCs w:val="23"/>
        </w:rPr>
        <w:t xml:space="preserve"> </w:t>
      </w:r>
      <w:proofErr w:type="spellStart"/>
      <w:r w:rsidRPr="005D569A">
        <w:rPr>
          <w:bCs/>
          <w:sz w:val="23"/>
          <w:szCs w:val="23"/>
        </w:rPr>
        <w:t>piešķiršanu</w:t>
      </w:r>
      <w:proofErr w:type="spellEnd"/>
      <w:r w:rsidRPr="005D569A">
        <w:rPr>
          <w:bCs/>
          <w:sz w:val="23"/>
          <w:szCs w:val="23"/>
        </w:rPr>
        <w:t xml:space="preserve"> – 2016.gada </w:t>
      </w:r>
      <w:r w:rsidR="00143CAD" w:rsidRPr="005D569A">
        <w:rPr>
          <w:bCs/>
          <w:sz w:val="23"/>
          <w:szCs w:val="23"/>
        </w:rPr>
        <w:t>26</w:t>
      </w:r>
      <w:r w:rsidR="006F29BA" w:rsidRPr="005D569A">
        <w:rPr>
          <w:bCs/>
          <w:sz w:val="23"/>
          <w:szCs w:val="23"/>
        </w:rPr>
        <w:t>.septembris</w:t>
      </w:r>
      <w:r w:rsidRPr="005D569A">
        <w:rPr>
          <w:bCs/>
          <w:sz w:val="23"/>
          <w:szCs w:val="23"/>
        </w:rPr>
        <w:t>.</w:t>
      </w:r>
    </w:p>
    <w:p w:rsidR="00CB35CE" w:rsidRPr="005D569A" w:rsidRDefault="001B1C3F" w:rsidP="001B1C3F">
      <w:pPr>
        <w:pStyle w:val="virsrakstiparastie"/>
        <w:keepNext w:val="0"/>
        <w:spacing w:after="0"/>
        <w:ind w:right="-427"/>
        <w:rPr>
          <w:b w:val="0"/>
          <w:sz w:val="23"/>
          <w:szCs w:val="23"/>
        </w:rPr>
      </w:pPr>
      <w:r w:rsidRPr="005D569A">
        <w:rPr>
          <w:sz w:val="23"/>
          <w:szCs w:val="23"/>
        </w:rPr>
        <w:t>Komisijas sēdes darba kārtība:</w:t>
      </w:r>
      <w:r w:rsidR="00E9076E" w:rsidRPr="005D569A">
        <w:rPr>
          <w:sz w:val="23"/>
          <w:szCs w:val="23"/>
          <w:lang w:eastAsia="en-US"/>
        </w:rPr>
        <w:t xml:space="preserve"> </w:t>
      </w:r>
      <w:r w:rsidR="00CB35CE" w:rsidRPr="005D569A">
        <w:rPr>
          <w:b w:val="0"/>
          <w:sz w:val="23"/>
          <w:szCs w:val="23"/>
        </w:rPr>
        <w:t>Lēmuma par uzvarētāju pieņemšana.</w:t>
      </w:r>
    </w:p>
    <w:p w:rsidR="00C608EC" w:rsidRPr="005D569A" w:rsidRDefault="00C608EC" w:rsidP="009E48F9">
      <w:pPr>
        <w:pStyle w:val="Style"/>
        <w:spacing w:before="100" w:beforeAutospacing="1" w:after="100" w:afterAutospacing="1"/>
        <w:jc w:val="center"/>
        <w:rPr>
          <w:b/>
          <w:bCs/>
          <w:sz w:val="23"/>
          <w:szCs w:val="23"/>
          <w:lang w:val="lv-LV"/>
        </w:rPr>
      </w:pPr>
      <w:r w:rsidRPr="005D569A">
        <w:rPr>
          <w:b/>
          <w:bCs/>
          <w:sz w:val="23"/>
          <w:szCs w:val="23"/>
          <w:lang w:val="lv-LV"/>
        </w:rPr>
        <w:t>Lēmuma par uzvarētāju pieņemšana</w:t>
      </w:r>
    </w:p>
    <w:p w:rsidR="00C608EC" w:rsidRPr="005D569A" w:rsidRDefault="00C608EC" w:rsidP="00C608EC">
      <w:pPr>
        <w:pStyle w:val="BodyTextIndent"/>
        <w:numPr>
          <w:ilvl w:val="0"/>
          <w:numId w:val="39"/>
        </w:numPr>
        <w:spacing w:after="80"/>
        <w:rPr>
          <w:sz w:val="23"/>
          <w:szCs w:val="23"/>
        </w:rPr>
      </w:pPr>
      <w:r w:rsidRPr="005D569A">
        <w:rPr>
          <w:sz w:val="23"/>
          <w:szCs w:val="23"/>
        </w:rPr>
        <w:t xml:space="preserve">Komisijas priekšsēdētāja J.Kornutjaka paziņo sēdi par atklātu, nosauc komisijas sastāvu, ziņo sēdes darba kārtību. </w:t>
      </w:r>
    </w:p>
    <w:p w:rsidR="00C608EC" w:rsidRPr="005D569A" w:rsidRDefault="00C608EC" w:rsidP="00143CAD">
      <w:pPr>
        <w:pStyle w:val="BodyTextIndent"/>
        <w:numPr>
          <w:ilvl w:val="0"/>
          <w:numId w:val="39"/>
        </w:numPr>
        <w:spacing w:after="80"/>
        <w:rPr>
          <w:sz w:val="23"/>
          <w:szCs w:val="23"/>
        </w:rPr>
      </w:pPr>
      <w:r w:rsidRPr="005D569A">
        <w:rPr>
          <w:sz w:val="23"/>
          <w:szCs w:val="23"/>
        </w:rPr>
        <w:t>Komisija konstatē, ka iepirkumam ir pieteicies viens pretendents – SIA „</w:t>
      </w:r>
      <w:proofErr w:type="spellStart"/>
      <w:r w:rsidR="00143CAD" w:rsidRPr="005D569A">
        <w:rPr>
          <w:sz w:val="23"/>
          <w:szCs w:val="23"/>
        </w:rPr>
        <w:t>Deloitte</w:t>
      </w:r>
      <w:proofErr w:type="spellEnd"/>
      <w:r w:rsidR="00143CAD" w:rsidRPr="005D569A">
        <w:rPr>
          <w:sz w:val="23"/>
          <w:szCs w:val="23"/>
        </w:rPr>
        <w:t xml:space="preserve"> Audits Latvia</w:t>
      </w:r>
      <w:r w:rsidRPr="005D569A">
        <w:rPr>
          <w:sz w:val="23"/>
          <w:szCs w:val="23"/>
        </w:rPr>
        <w:t>”. Pretendents piedāvā līgumcenu EUR</w:t>
      </w:r>
      <w:r w:rsidRPr="005D569A">
        <w:rPr>
          <w:sz w:val="23"/>
          <w:szCs w:val="23"/>
          <w:lang w:val="en-US"/>
        </w:rPr>
        <w:t xml:space="preserve"> </w:t>
      </w:r>
      <w:r w:rsidR="00143CAD" w:rsidRPr="005D569A">
        <w:rPr>
          <w:sz w:val="23"/>
          <w:szCs w:val="23"/>
        </w:rPr>
        <w:t>26 400,00</w:t>
      </w:r>
      <w:r w:rsidRPr="005D569A">
        <w:rPr>
          <w:sz w:val="23"/>
          <w:szCs w:val="23"/>
        </w:rPr>
        <w:t xml:space="preserve"> bez PVN.</w:t>
      </w:r>
    </w:p>
    <w:p w:rsidR="00143CAD" w:rsidRPr="005D569A" w:rsidRDefault="00143CAD" w:rsidP="00143CAD">
      <w:pPr>
        <w:pStyle w:val="BodyTextIndent"/>
        <w:numPr>
          <w:ilvl w:val="0"/>
          <w:numId w:val="39"/>
        </w:numPr>
        <w:tabs>
          <w:tab w:val="left" w:pos="0"/>
        </w:tabs>
        <w:spacing w:after="120"/>
        <w:rPr>
          <w:color w:val="000000"/>
          <w:sz w:val="23"/>
          <w:szCs w:val="23"/>
        </w:rPr>
      </w:pPr>
      <w:r w:rsidRPr="005D569A">
        <w:rPr>
          <w:sz w:val="23"/>
          <w:szCs w:val="23"/>
        </w:rPr>
        <w:t>Saskaņā ar iepirkuma Nolikuma 38.punktu par piedāvājuma izvēles kritēriju noteikts saimnieciski visizdevīgākais piedāvājums, vadoties pēc šādiem vērtēšanas kritērijiem un to vērtībām: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071"/>
        <w:gridCol w:w="2191"/>
      </w:tblGrid>
      <w:tr w:rsidR="00143CAD" w:rsidRPr="005D569A" w:rsidTr="00E97112">
        <w:tc>
          <w:tcPr>
            <w:tcW w:w="1134" w:type="dxa"/>
            <w:shd w:val="clear" w:color="auto" w:fill="auto"/>
            <w:vAlign w:val="center"/>
          </w:tcPr>
          <w:p w:rsidR="00143CAD" w:rsidRPr="005D569A" w:rsidRDefault="00143CAD" w:rsidP="00E97112">
            <w:pPr>
              <w:tabs>
                <w:tab w:val="left" w:pos="426"/>
              </w:tabs>
              <w:ind w:right="-57"/>
              <w:jc w:val="center"/>
              <w:rPr>
                <w:b/>
                <w:sz w:val="23"/>
                <w:szCs w:val="23"/>
              </w:rPr>
            </w:pPr>
            <w:proofErr w:type="spellStart"/>
            <w:r w:rsidRPr="005D569A">
              <w:rPr>
                <w:b/>
                <w:iCs/>
                <w:sz w:val="23"/>
                <w:szCs w:val="23"/>
              </w:rPr>
              <w:t>Nr.p.k</w:t>
            </w:r>
            <w:proofErr w:type="spellEnd"/>
            <w:r w:rsidRPr="005D569A">
              <w:rPr>
                <w:b/>
                <w:iCs/>
                <w:sz w:val="23"/>
                <w:szCs w:val="23"/>
              </w:rPr>
              <w:t>.</w:t>
            </w:r>
          </w:p>
        </w:tc>
        <w:tc>
          <w:tcPr>
            <w:tcW w:w="5244" w:type="dxa"/>
            <w:shd w:val="clear" w:color="auto" w:fill="auto"/>
            <w:vAlign w:val="center"/>
          </w:tcPr>
          <w:p w:rsidR="00143CAD" w:rsidRPr="005D569A" w:rsidRDefault="00143CAD" w:rsidP="00E97112">
            <w:pPr>
              <w:tabs>
                <w:tab w:val="left" w:pos="426"/>
              </w:tabs>
              <w:ind w:right="-57"/>
              <w:jc w:val="center"/>
              <w:rPr>
                <w:b/>
                <w:sz w:val="23"/>
                <w:szCs w:val="23"/>
              </w:rPr>
            </w:pPr>
            <w:proofErr w:type="spellStart"/>
            <w:r w:rsidRPr="005D569A">
              <w:rPr>
                <w:b/>
                <w:iCs/>
                <w:spacing w:val="3"/>
                <w:sz w:val="23"/>
                <w:szCs w:val="23"/>
              </w:rPr>
              <w:t>Kritērijs</w:t>
            </w:r>
            <w:proofErr w:type="spellEnd"/>
          </w:p>
        </w:tc>
        <w:tc>
          <w:tcPr>
            <w:tcW w:w="2235" w:type="dxa"/>
            <w:shd w:val="clear" w:color="auto" w:fill="auto"/>
            <w:vAlign w:val="center"/>
          </w:tcPr>
          <w:p w:rsidR="00143CAD" w:rsidRPr="005D569A" w:rsidRDefault="00143CAD" w:rsidP="00E97112">
            <w:pPr>
              <w:tabs>
                <w:tab w:val="left" w:pos="426"/>
              </w:tabs>
              <w:ind w:right="-57"/>
              <w:jc w:val="center"/>
              <w:rPr>
                <w:b/>
                <w:sz w:val="23"/>
                <w:szCs w:val="23"/>
              </w:rPr>
            </w:pPr>
            <w:proofErr w:type="spellStart"/>
            <w:r w:rsidRPr="005D569A">
              <w:rPr>
                <w:b/>
                <w:sz w:val="23"/>
                <w:szCs w:val="23"/>
              </w:rPr>
              <w:t>Kritērija</w:t>
            </w:r>
            <w:proofErr w:type="spellEnd"/>
            <w:r w:rsidRPr="005D569A">
              <w:rPr>
                <w:b/>
                <w:sz w:val="23"/>
                <w:szCs w:val="23"/>
              </w:rPr>
              <w:t xml:space="preserve"> </w:t>
            </w:r>
            <w:proofErr w:type="spellStart"/>
            <w:r w:rsidRPr="005D569A">
              <w:rPr>
                <w:b/>
                <w:sz w:val="23"/>
                <w:szCs w:val="23"/>
              </w:rPr>
              <w:t>maksimālā</w:t>
            </w:r>
            <w:proofErr w:type="spellEnd"/>
            <w:r w:rsidRPr="005D569A">
              <w:rPr>
                <w:b/>
                <w:sz w:val="23"/>
                <w:szCs w:val="23"/>
              </w:rPr>
              <w:t xml:space="preserve"> </w:t>
            </w:r>
            <w:proofErr w:type="spellStart"/>
            <w:r w:rsidRPr="005D569A">
              <w:rPr>
                <w:b/>
                <w:sz w:val="23"/>
                <w:szCs w:val="23"/>
              </w:rPr>
              <w:t>skaitliskā</w:t>
            </w:r>
            <w:proofErr w:type="spellEnd"/>
            <w:r w:rsidRPr="005D569A">
              <w:rPr>
                <w:b/>
                <w:sz w:val="23"/>
                <w:szCs w:val="23"/>
              </w:rPr>
              <w:t xml:space="preserve"> </w:t>
            </w:r>
            <w:proofErr w:type="spellStart"/>
            <w:r w:rsidRPr="005D569A">
              <w:rPr>
                <w:b/>
                <w:sz w:val="23"/>
                <w:szCs w:val="23"/>
              </w:rPr>
              <w:t>vērtība</w:t>
            </w:r>
            <w:proofErr w:type="spellEnd"/>
          </w:p>
        </w:tc>
      </w:tr>
      <w:tr w:rsidR="00143CAD" w:rsidRPr="005D569A" w:rsidTr="00E97112">
        <w:tc>
          <w:tcPr>
            <w:tcW w:w="1134" w:type="dxa"/>
            <w:shd w:val="clear" w:color="auto" w:fill="auto"/>
            <w:vAlign w:val="center"/>
          </w:tcPr>
          <w:p w:rsidR="00143CAD" w:rsidRPr="005D569A" w:rsidRDefault="00143CAD" w:rsidP="00E97112">
            <w:pPr>
              <w:tabs>
                <w:tab w:val="left" w:pos="426"/>
              </w:tabs>
              <w:ind w:right="-57"/>
              <w:jc w:val="center"/>
              <w:rPr>
                <w:b/>
                <w:sz w:val="23"/>
                <w:szCs w:val="23"/>
              </w:rPr>
            </w:pPr>
            <w:r w:rsidRPr="005D569A">
              <w:rPr>
                <w:b/>
                <w:iCs/>
                <w:sz w:val="23"/>
                <w:szCs w:val="23"/>
              </w:rPr>
              <w:t>l. (A)</w:t>
            </w:r>
          </w:p>
        </w:tc>
        <w:tc>
          <w:tcPr>
            <w:tcW w:w="5244" w:type="dxa"/>
            <w:shd w:val="clear" w:color="auto" w:fill="auto"/>
            <w:vAlign w:val="center"/>
          </w:tcPr>
          <w:p w:rsidR="00143CAD" w:rsidRPr="005D569A" w:rsidRDefault="00143CAD" w:rsidP="00E97112">
            <w:pPr>
              <w:shd w:val="clear" w:color="auto" w:fill="FFFFFF"/>
              <w:rPr>
                <w:spacing w:val="3"/>
                <w:sz w:val="23"/>
                <w:szCs w:val="23"/>
              </w:rPr>
            </w:pPr>
            <w:proofErr w:type="spellStart"/>
            <w:r w:rsidRPr="005D569A">
              <w:rPr>
                <w:b/>
                <w:spacing w:val="3"/>
                <w:sz w:val="23"/>
                <w:szCs w:val="23"/>
              </w:rPr>
              <w:t>Piedāvātā</w:t>
            </w:r>
            <w:proofErr w:type="spellEnd"/>
            <w:r w:rsidRPr="005D569A">
              <w:rPr>
                <w:b/>
                <w:spacing w:val="3"/>
                <w:sz w:val="23"/>
                <w:szCs w:val="23"/>
              </w:rPr>
              <w:t xml:space="preserve"> </w:t>
            </w:r>
            <w:proofErr w:type="spellStart"/>
            <w:r w:rsidRPr="005D569A">
              <w:rPr>
                <w:b/>
                <w:spacing w:val="3"/>
                <w:sz w:val="23"/>
                <w:szCs w:val="23"/>
              </w:rPr>
              <w:t>līgumcena</w:t>
            </w:r>
            <w:proofErr w:type="spellEnd"/>
            <w:r w:rsidRPr="005D569A">
              <w:rPr>
                <w:spacing w:val="3"/>
                <w:sz w:val="23"/>
                <w:szCs w:val="23"/>
              </w:rPr>
              <w:t xml:space="preserve"> </w:t>
            </w:r>
          </w:p>
        </w:tc>
        <w:tc>
          <w:tcPr>
            <w:tcW w:w="2235" w:type="dxa"/>
            <w:shd w:val="clear" w:color="auto" w:fill="auto"/>
            <w:vAlign w:val="center"/>
          </w:tcPr>
          <w:p w:rsidR="00143CAD" w:rsidRPr="005D569A" w:rsidRDefault="00143CAD" w:rsidP="00E97112">
            <w:pPr>
              <w:tabs>
                <w:tab w:val="left" w:pos="426"/>
              </w:tabs>
              <w:ind w:right="-57"/>
              <w:jc w:val="center"/>
              <w:rPr>
                <w:b/>
                <w:sz w:val="23"/>
                <w:szCs w:val="23"/>
              </w:rPr>
            </w:pPr>
            <w:r w:rsidRPr="005D569A">
              <w:rPr>
                <w:b/>
                <w:sz w:val="23"/>
                <w:szCs w:val="23"/>
              </w:rPr>
              <w:t>70</w:t>
            </w:r>
          </w:p>
        </w:tc>
      </w:tr>
      <w:tr w:rsidR="00143CAD" w:rsidRPr="005D569A" w:rsidTr="00E97112">
        <w:trPr>
          <w:trHeight w:val="653"/>
        </w:trPr>
        <w:tc>
          <w:tcPr>
            <w:tcW w:w="1134" w:type="dxa"/>
            <w:shd w:val="clear" w:color="auto" w:fill="auto"/>
            <w:vAlign w:val="center"/>
          </w:tcPr>
          <w:p w:rsidR="00143CAD" w:rsidRPr="005D569A" w:rsidRDefault="00143CAD" w:rsidP="00E97112">
            <w:pPr>
              <w:tabs>
                <w:tab w:val="left" w:pos="426"/>
              </w:tabs>
              <w:ind w:right="-57"/>
              <w:jc w:val="center"/>
              <w:rPr>
                <w:b/>
                <w:sz w:val="23"/>
                <w:szCs w:val="23"/>
              </w:rPr>
            </w:pPr>
            <w:r w:rsidRPr="005D569A">
              <w:rPr>
                <w:b/>
                <w:iCs/>
                <w:sz w:val="23"/>
                <w:szCs w:val="23"/>
              </w:rPr>
              <w:lastRenderedPageBreak/>
              <w:t>2. (B)</w:t>
            </w:r>
          </w:p>
        </w:tc>
        <w:tc>
          <w:tcPr>
            <w:tcW w:w="5244" w:type="dxa"/>
            <w:shd w:val="clear" w:color="auto" w:fill="auto"/>
            <w:vAlign w:val="center"/>
          </w:tcPr>
          <w:p w:rsidR="00143CAD" w:rsidRPr="005D569A" w:rsidRDefault="00143CAD" w:rsidP="00E97112">
            <w:pPr>
              <w:widowControl w:val="0"/>
              <w:tabs>
                <w:tab w:val="left" w:pos="-850"/>
              </w:tabs>
              <w:autoSpaceDE w:val="0"/>
              <w:autoSpaceDN w:val="0"/>
              <w:adjustRightInd w:val="0"/>
              <w:ind w:left="34" w:right="-23" w:hanging="34"/>
              <w:rPr>
                <w:b/>
                <w:sz w:val="23"/>
                <w:szCs w:val="23"/>
              </w:rPr>
            </w:pPr>
            <w:proofErr w:type="spellStart"/>
            <w:r w:rsidRPr="005D569A">
              <w:rPr>
                <w:b/>
                <w:sz w:val="23"/>
                <w:szCs w:val="23"/>
              </w:rPr>
              <w:t>Revīzijas</w:t>
            </w:r>
            <w:proofErr w:type="spellEnd"/>
            <w:r w:rsidRPr="005D569A">
              <w:rPr>
                <w:b/>
                <w:sz w:val="23"/>
                <w:szCs w:val="23"/>
              </w:rPr>
              <w:t xml:space="preserve"> </w:t>
            </w:r>
            <w:proofErr w:type="spellStart"/>
            <w:r w:rsidRPr="005D569A">
              <w:rPr>
                <w:b/>
                <w:sz w:val="23"/>
                <w:szCs w:val="23"/>
              </w:rPr>
              <w:t>procesa</w:t>
            </w:r>
            <w:proofErr w:type="spellEnd"/>
            <w:r w:rsidRPr="005D569A">
              <w:rPr>
                <w:b/>
                <w:sz w:val="23"/>
                <w:szCs w:val="23"/>
              </w:rPr>
              <w:t xml:space="preserve"> </w:t>
            </w:r>
            <w:proofErr w:type="spellStart"/>
            <w:r w:rsidRPr="005D569A">
              <w:rPr>
                <w:b/>
                <w:sz w:val="23"/>
                <w:szCs w:val="23"/>
              </w:rPr>
              <w:t>organizācija</w:t>
            </w:r>
            <w:proofErr w:type="spellEnd"/>
            <w:r w:rsidRPr="005D569A">
              <w:rPr>
                <w:b/>
                <w:sz w:val="23"/>
                <w:szCs w:val="23"/>
              </w:rPr>
              <w:t xml:space="preserve">, </w:t>
            </w:r>
            <w:proofErr w:type="spellStart"/>
            <w:r w:rsidRPr="005D569A">
              <w:rPr>
                <w:b/>
                <w:sz w:val="23"/>
                <w:szCs w:val="23"/>
              </w:rPr>
              <w:t>kvalitāte</w:t>
            </w:r>
            <w:proofErr w:type="spellEnd"/>
            <w:r w:rsidRPr="005D569A">
              <w:rPr>
                <w:b/>
                <w:sz w:val="23"/>
                <w:szCs w:val="23"/>
              </w:rPr>
              <w:t xml:space="preserve"> un </w:t>
            </w:r>
            <w:proofErr w:type="spellStart"/>
            <w:r w:rsidRPr="005D569A">
              <w:rPr>
                <w:b/>
                <w:sz w:val="23"/>
                <w:szCs w:val="23"/>
              </w:rPr>
              <w:t>efektivitāte</w:t>
            </w:r>
            <w:proofErr w:type="spellEnd"/>
          </w:p>
        </w:tc>
        <w:tc>
          <w:tcPr>
            <w:tcW w:w="2235" w:type="dxa"/>
            <w:shd w:val="clear" w:color="auto" w:fill="auto"/>
            <w:vAlign w:val="center"/>
          </w:tcPr>
          <w:p w:rsidR="00143CAD" w:rsidRPr="005D569A" w:rsidRDefault="00143CAD" w:rsidP="00E97112">
            <w:pPr>
              <w:tabs>
                <w:tab w:val="left" w:pos="426"/>
              </w:tabs>
              <w:ind w:right="-57"/>
              <w:jc w:val="center"/>
              <w:rPr>
                <w:b/>
                <w:sz w:val="23"/>
                <w:szCs w:val="23"/>
              </w:rPr>
            </w:pPr>
            <w:r w:rsidRPr="005D569A">
              <w:rPr>
                <w:b/>
                <w:sz w:val="23"/>
                <w:szCs w:val="23"/>
              </w:rPr>
              <w:t>30</w:t>
            </w:r>
          </w:p>
        </w:tc>
      </w:tr>
      <w:tr w:rsidR="00143CAD" w:rsidRPr="005D569A" w:rsidTr="00E97112">
        <w:trPr>
          <w:trHeight w:val="407"/>
        </w:trPr>
        <w:tc>
          <w:tcPr>
            <w:tcW w:w="1134" w:type="dxa"/>
            <w:shd w:val="clear" w:color="auto" w:fill="auto"/>
            <w:vAlign w:val="center"/>
          </w:tcPr>
          <w:p w:rsidR="00143CAD" w:rsidRPr="005D569A" w:rsidRDefault="00143CAD" w:rsidP="00E97112">
            <w:pPr>
              <w:widowControl w:val="0"/>
              <w:tabs>
                <w:tab w:val="left" w:pos="-850"/>
              </w:tabs>
              <w:autoSpaceDE w:val="0"/>
              <w:autoSpaceDN w:val="0"/>
              <w:adjustRightInd w:val="0"/>
              <w:ind w:left="33" w:right="-23"/>
              <w:jc w:val="center"/>
              <w:rPr>
                <w:b/>
                <w:sz w:val="23"/>
                <w:szCs w:val="23"/>
              </w:rPr>
            </w:pPr>
            <w:r w:rsidRPr="005D569A">
              <w:rPr>
                <w:noProof/>
                <w:sz w:val="23"/>
                <w:szCs w:val="23"/>
              </w:rPr>
              <w:t>B1</w:t>
            </w:r>
          </w:p>
        </w:tc>
        <w:tc>
          <w:tcPr>
            <w:tcW w:w="5244" w:type="dxa"/>
            <w:shd w:val="clear" w:color="auto" w:fill="auto"/>
            <w:vAlign w:val="center"/>
          </w:tcPr>
          <w:p w:rsidR="00143CAD" w:rsidRPr="005D569A" w:rsidRDefault="00143CAD" w:rsidP="00E97112">
            <w:pPr>
              <w:widowControl w:val="0"/>
              <w:tabs>
                <w:tab w:val="left" w:pos="-850"/>
              </w:tabs>
              <w:autoSpaceDE w:val="0"/>
              <w:autoSpaceDN w:val="0"/>
              <w:adjustRightInd w:val="0"/>
              <w:ind w:right="-23"/>
              <w:rPr>
                <w:noProof/>
                <w:sz w:val="23"/>
                <w:szCs w:val="23"/>
              </w:rPr>
            </w:pPr>
            <w:r w:rsidRPr="005D569A">
              <w:rPr>
                <w:noProof/>
                <w:sz w:val="23"/>
                <w:szCs w:val="23"/>
              </w:rPr>
              <w:t>Revīzijas procesa organizācija</w:t>
            </w:r>
          </w:p>
        </w:tc>
        <w:tc>
          <w:tcPr>
            <w:tcW w:w="2235" w:type="dxa"/>
            <w:shd w:val="clear" w:color="auto" w:fill="auto"/>
            <w:vAlign w:val="center"/>
          </w:tcPr>
          <w:p w:rsidR="00143CAD" w:rsidRPr="005D569A" w:rsidRDefault="00143CAD" w:rsidP="00E97112">
            <w:pPr>
              <w:tabs>
                <w:tab w:val="left" w:pos="426"/>
              </w:tabs>
              <w:ind w:right="-57"/>
              <w:jc w:val="center"/>
              <w:rPr>
                <w:b/>
                <w:sz w:val="23"/>
                <w:szCs w:val="23"/>
              </w:rPr>
            </w:pPr>
            <w:r w:rsidRPr="005D569A">
              <w:rPr>
                <w:b/>
                <w:sz w:val="23"/>
                <w:szCs w:val="23"/>
              </w:rPr>
              <w:t>6</w:t>
            </w:r>
          </w:p>
        </w:tc>
      </w:tr>
      <w:tr w:rsidR="00143CAD" w:rsidRPr="005D569A" w:rsidTr="00E97112">
        <w:trPr>
          <w:trHeight w:val="401"/>
        </w:trPr>
        <w:tc>
          <w:tcPr>
            <w:tcW w:w="1134" w:type="dxa"/>
            <w:shd w:val="clear" w:color="auto" w:fill="auto"/>
            <w:vAlign w:val="center"/>
          </w:tcPr>
          <w:p w:rsidR="00143CAD" w:rsidRPr="005D569A" w:rsidRDefault="00143CAD" w:rsidP="00E97112">
            <w:pPr>
              <w:widowControl w:val="0"/>
              <w:tabs>
                <w:tab w:val="left" w:pos="-850"/>
              </w:tabs>
              <w:autoSpaceDE w:val="0"/>
              <w:autoSpaceDN w:val="0"/>
              <w:adjustRightInd w:val="0"/>
              <w:ind w:left="33" w:right="-23"/>
              <w:jc w:val="center"/>
              <w:rPr>
                <w:sz w:val="23"/>
                <w:szCs w:val="23"/>
              </w:rPr>
            </w:pPr>
            <w:r w:rsidRPr="005D569A">
              <w:rPr>
                <w:sz w:val="23"/>
                <w:szCs w:val="23"/>
              </w:rPr>
              <w:t>B2</w:t>
            </w:r>
          </w:p>
        </w:tc>
        <w:tc>
          <w:tcPr>
            <w:tcW w:w="5244" w:type="dxa"/>
            <w:shd w:val="clear" w:color="auto" w:fill="auto"/>
            <w:vAlign w:val="center"/>
          </w:tcPr>
          <w:p w:rsidR="00143CAD" w:rsidRPr="005D569A" w:rsidRDefault="00143CAD" w:rsidP="00E97112">
            <w:pPr>
              <w:widowControl w:val="0"/>
              <w:tabs>
                <w:tab w:val="left" w:pos="-850"/>
              </w:tabs>
              <w:autoSpaceDE w:val="0"/>
              <w:autoSpaceDN w:val="0"/>
              <w:adjustRightInd w:val="0"/>
              <w:ind w:right="-23"/>
              <w:rPr>
                <w:noProof/>
                <w:sz w:val="23"/>
                <w:szCs w:val="23"/>
              </w:rPr>
            </w:pPr>
            <w:proofErr w:type="spellStart"/>
            <w:r w:rsidRPr="005D569A">
              <w:rPr>
                <w:sz w:val="23"/>
                <w:szCs w:val="23"/>
              </w:rPr>
              <w:t>Pielietotā</w:t>
            </w:r>
            <w:proofErr w:type="spellEnd"/>
            <w:r w:rsidRPr="005D569A">
              <w:rPr>
                <w:sz w:val="23"/>
                <w:szCs w:val="23"/>
              </w:rPr>
              <w:t xml:space="preserve"> </w:t>
            </w:r>
            <w:proofErr w:type="spellStart"/>
            <w:r w:rsidRPr="005D569A">
              <w:rPr>
                <w:sz w:val="23"/>
                <w:szCs w:val="23"/>
              </w:rPr>
              <w:t>revīzijas</w:t>
            </w:r>
            <w:proofErr w:type="spellEnd"/>
            <w:r w:rsidRPr="005D569A">
              <w:rPr>
                <w:sz w:val="23"/>
                <w:szCs w:val="23"/>
              </w:rPr>
              <w:t xml:space="preserve"> </w:t>
            </w:r>
            <w:proofErr w:type="spellStart"/>
            <w:r w:rsidRPr="005D569A">
              <w:rPr>
                <w:sz w:val="23"/>
                <w:szCs w:val="23"/>
              </w:rPr>
              <w:t>metodoloģija</w:t>
            </w:r>
            <w:proofErr w:type="spellEnd"/>
            <w:r w:rsidRPr="005D569A">
              <w:rPr>
                <w:noProof/>
                <w:sz w:val="23"/>
                <w:szCs w:val="23"/>
              </w:rPr>
              <w:t xml:space="preserve"> </w:t>
            </w:r>
          </w:p>
        </w:tc>
        <w:tc>
          <w:tcPr>
            <w:tcW w:w="2235" w:type="dxa"/>
            <w:shd w:val="clear" w:color="auto" w:fill="auto"/>
            <w:vAlign w:val="center"/>
          </w:tcPr>
          <w:p w:rsidR="00143CAD" w:rsidRPr="005D569A" w:rsidRDefault="00143CAD" w:rsidP="00E97112">
            <w:pPr>
              <w:tabs>
                <w:tab w:val="left" w:pos="426"/>
              </w:tabs>
              <w:ind w:right="-57"/>
              <w:jc w:val="center"/>
              <w:rPr>
                <w:b/>
                <w:sz w:val="23"/>
                <w:szCs w:val="23"/>
              </w:rPr>
            </w:pPr>
            <w:r w:rsidRPr="005D569A">
              <w:rPr>
                <w:b/>
                <w:sz w:val="23"/>
                <w:szCs w:val="23"/>
              </w:rPr>
              <w:t>12</w:t>
            </w:r>
          </w:p>
        </w:tc>
      </w:tr>
      <w:tr w:rsidR="00143CAD" w:rsidRPr="005D569A" w:rsidTr="00E97112">
        <w:tc>
          <w:tcPr>
            <w:tcW w:w="1134" w:type="dxa"/>
            <w:shd w:val="clear" w:color="auto" w:fill="auto"/>
            <w:vAlign w:val="center"/>
          </w:tcPr>
          <w:p w:rsidR="00143CAD" w:rsidRPr="005D569A" w:rsidRDefault="00143CAD" w:rsidP="00E97112">
            <w:pPr>
              <w:widowControl w:val="0"/>
              <w:tabs>
                <w:tab w:val="left" w:pos="-850"/>
              </w:tabs>
              <w:autoSpaceDE w:val="0"/>
              <w:autoSpaceDN w:val="0"/>
              <w:adjustRightInd w:val="0"/>
              <w:ind w:left="33" w:right="-23"/>
              <w:jc w:val="center"/>
              <w:rPr>
                <w:noProof/>
                <w:sz w:val="23"/>
                <w:szCs w:val="23"/>
              </w:rPr>
            </w:pPr>
            <w:r w:rsidRPr="005D569A">
              <w:rPr>
                <w:noProof/>
                <w:sz w:val="23"/>
                <w:szCs w:val="23"/>
              </w:rPr>
              <w:t>B3</w:t>
            </w:r>
          </w:p>
        </w:tc>
        <w:tc>
          <w:tcPr>
            <w:tcW w:w="5244" w:type="dxa"/>
            <w:shd w:val="clear" w:color="auto" w:fill="auto"/>
            <w:vAlign w:val="center"/>
          </w:tcPr>
          <w:p w:rsidR="00143CAD" w:rsidRPr="005D569A" w:rsidRDefault="00143CAD" w:rsidP="00E97112">
            <w:pPr>
              <w:widowControl w:val="0"/>
              <w:tabs>
                <w:tab w:val="left" w:pos="-850"/>
              </w:tabs>
              <w:autoSpaceDE w:val="0"/>
              <w:autoSpaceDN w:val="0"/>
              <w:adjustRightInd w:val="0"/>
              <w:ind w:right="-23"/>
              <w:rPr>
                <w:sz w:val="23"/>
                <w:szCs w:val="23"/>
              </w:rPr>
            </w:pPr>
            <w:r w:rsidRPr="005D569A">
              <w:rPr>
                <w:noProof/>
                <w:sz w:val="23"/>
                <w:szCs w:val="23"/>
              </w:rPr>
              <w:t>Revīzijas pakalpojuma laika grafiks</w:t>
            </w:r>
          </w:p>
        </w:tc>
        <w:tc>
          <w:tcPr>
            <w:tcW w:w="2235" w:type="dxa"/>
            <w:shd w:val="clear" w:color="auto" w:fill="auto"/>
            <w:vAlign w:val="center"/>
          </w:tcPr>
          <w:p w:rsidR="00143CAD" w:rsidRPr="005D569A" w:rsidRDefault="00143CAD" w:rsidP="00E97112">
            <w:pPr>
              <w:tabs>
                <w:tab w:val="left" w:pos="426"/>
              </w:tabs>
              <w:ind w:right="-57"/>
              <w:jc w:val="center"/>
              <w:rPr>
                <w:b/>
                <w:sz w:val="23"/>
                <w:szCs w:val="23"/>
              </w:rPr>
            </w:pPr>
            <w:r w:rsidRPr="005D569A">
              <w:rPr>
                <w:b/>
                <w:sz w:val="23"/>
                <w:szCs w:val="23"/>
              </w:rPr>
              <w:t>12</w:t>
            </w:r>
          </w:p>
        </w:tc>
      </w:tr>
    </w:tbl>
    <w:p w:rsidR="00C608EC" w:rsidRPr="005D569A" w:rsidRDefault="00C608EC" w:rsidP="00143CAD">
      <w:pPr>
        <w:pStyle w:val="BodyTextIndent"/>
        <w:numPr>
          <w:ilvl w:val="0"/>
          <w:numId w:val="39"/>
        </w:numPr>
        <w:spacing w:before="120" w:after="80"/>
        <w:ind w:left="357" w:hanging="357"/>
        <w:rPr>
          <w:sz w:val="23"/>
          <w:szCs w:val="23"/>
        </w:rPr>
      </w:pPr>
      <w:r w:rsidRPr="005D569A">
        <w:rPr>
          <w:sz w:val="23"/>
          <w:szCs w:val="23"/>
        </w:rPr>
        <w:t>2016.</w:t>
      </w:r>
      <w:r w:rsidR="00143CAD" w:rsidRPr="005D569A">
        <w:rPr>
          <w:sz w:val="23"/>
          <w:szCs w:val="23"/>
        </w:rPr>
        <w:t xml:space="preserve">gada 26.septembra sēdē (prot Nr.3), komisija veica pretendenta skaitlisko novērtēšanu kritērijam  „Revīzijas procesa organizācija, kvalitāte un efektivitāte”. Vienīgais pretendents ieguva </w:t>
      </w:r>
      <w:proofErr w:type="spellStart"/>
      <w:r w:rsidR="00143CAD" w:rsidRPr="005D569A">
        <w:rPr>
          <w:sz w:val="23"/>
          <w:szCs w:val="23"/>
        </w:rPr>
        <w:t>maksimalo</w:t>
      </w:r>
      <w:proofErr w:type="spellEnd"/>
      <w:r w:rsidR="00143CAD" w:rsidRPr="005D569A">
        <w:rPr>
          <w:sz w:val="23"/>
          <w:szCs w:val="23"/>
        </w:rPr>
        <w:t xml:space="preserve"> punktu skaitu – 30 punktus: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1844"/>
        <w:gridCol w:w="3948"/>
        <w:gridCol w:w="1228"/>
        <w:gridCol w:w="1450"/>
      </w:tblGrid>
      <w:tr w:rsidR="00143CAD" w:rsidRPr="005D569A" w:rsidTr="00143CAD">
        <w:tc>
          <w:tcPr>
            <w:tcW w:w="252" w:type="pct"/>
            <w:shd w:val="clear" w:color="auto" w:fill="auto"/>
            <w:vAlign w:val="center"/>
          </w:tcPr>
          <w:p w:rsidR="00143CAD" w:rsidRPr="005D569A" w:rsidRDefault="00143CAD" w:rsidP="00E97112">
            <w:pPr>
              <w:ind w:right="-57"/>
              <w:jc w:val="center"/>
              <w:rPr>
                <w:b/>
                <w:sz w:val="20"/>
                <w:szCs w:val="20"/>
                <w:lang w:val="lv-LV"/>
              </w:rPr>
            </w:pPr>
            <w:r w:rsidRPr="005D569A">
              <w:rPr>
                <w:b/>
                <w:sz w:val="20"/>
                <w:szCs w:val="20"/>
                <w:lang w:val="lv-LV"/>
              </w:rPr>
              <w:t>B</w:t>
            </w:r>
          </w:p>
        </w:tc>
        <w:tc>
          <w:tcPr>
            <w:tcW w:w="3247" w:type="pct"/>
            <w:gridSpan w:val="2"/>
            <w:tcBorders>
              <w:right w:val="single" w:sz="4" w:space="0" w:color="auto"/>
            </w:tcBorders>
            <w:shd w:val="clear" w:color="auto" w:fill="auto"/>
            <w:vAlign w:val="center"/>
          </w:tcPr>
          <w:p w:rsidR="00143CAD" w:rsidRPr="005D569A" w:rsidRDefault="00143CAD" w:rsidP="00E97112">
            <w:pPr>
              <w:ind w:right="-57"/>
              <w:jc w:val="center"/>
              <w:rPr>
                <w:b/>
                <w:sz w:val="20"/>
                <w:szCs w:val="20"/>
                <w:lang w:val="lv-LV"/>
              </w:rPr>
            </w:pPr>
            <w:r w:rsidRPr="005D569A">
              <w:rPr>
                <w:b/>
                <w:sz w:val="20"/>
                <w:szCs w:val="20"/>
                <w:lang w:val="lv-LV"/>
              </w:rPr>
              <w:t>Revīzijas procesa organizācija, kvalitāte, efektivitāte</w:t>
            </w:r>
          </w:p>
          <w:p w:rsidR="00143CAD" w:rsidRPr="005D569A" w:rsidRDefault="00143CAD" w:rsidP="00E97112">
            <w:pPr>
              <w:ind w:right="-57"/>
              <w:jc w:val="center"/>
              <w:rPr>
                <w:b/>
                <w:sz w:val="20"/>
                <w:szCs w:val="20"/>
                <w:lang w:val="lv-LV"/>
              </w:rPr>
            </w:pPr>
            <w:r w:rsidRPr="005D569A">
              <w:rPr>
                <w:b/>
                <w:sz w:val="20"/>
                <w:szCs w:val="20"/>
                <w:lang w:val="lv-LV"/>
              </w:rPr>
              <w:t>B=B1+B2+B3+B4+B5+B6</w:t>
            </w:r>
          </w:p>
        </w:tc>
        <w:tc>
          <w:tcPr>
            <w:tcW w:w="688" w:type="pct"/>
            <w:tcBorders>
              <w:left w:val="single" w:sz="4" w:space="0" w:color="auto"/>
            </w:tcBorders>
            <w:shd w:val="clear" w:color="auto" w:fill="auto"/>
            <w:vAlign w:val="center"/>
          </w:tcPr>
          <w:p w:rsidR="00143CAD" w:rsidRPr="005D569A" w:rsidRDefault="00143CAD" w:rsidP="00E97112">
            <w:pPr>
              <w:ind w:right="-57"/>
              <w:jc w:val="center"/>
              <w:rPr>
                <w:b/>
                <w:sz w:val="20"/>
                <w:szCs w:val="20"/>
                <w:lang w:val="lv-LV"/>
              </w:rPr>
            </w:pPr>
            <w:r w:rsidRPr="005D569A">
              <w:rPr>
                <w:b/>
                <w:sz w:val="20"/>
                <w:szCs w:val="20"/>
                <w:lang w:val="lv-LV"/>
              </w:rPr>
              <w:t>Iespējamais vērtējums</w:t>
            </w:r>
          </w:p>
        </w:tc>
        <w:tc>
          <w:tcPr>
            <w:tcW w:w="813" w:type="pct"/>
            <w:tcBorders>
              <w:left w:val="single" w:sz="4" w:space="0" w:color="auto"/>
            </w:tcBorders>
            <w:vAlign w:val="center"/>
          </w:tcPr>
          <w:p w:rsidR="00143CAD" w:rsidRPr="005D569A" w:rsidRDefault="00143CAD" w:rsidP="00E97112">
            <w:pPr>
              <w:ind w:right="-57"/>
              <w:jc w:val="center"/>
              <w:rPr>
                <w:b/>
                <w:sz w:val="20"/>
                <w:szCs w:val="20"/>
                <w:lang w:val="lv-LV"/>
              </w:rPr>
            </w:pPr>
            <w:r w:rsidRPr="005D569A">
              <w:rPr>
                <w:b/>
                <w:sz w:val="20"/>
                <w:szCs w:val="20"/>
                <w:lang w:val="lv-LV"/>
              </w:rPr>
              <w:t>Komisijas locekļu vērtējums (neaizpildītajā laukā liek „-„)</w:t>
            </w:r>
          </w:p>
        </w:tc>
      </w:tr>
      <w:tr w:rsidR="00143CAD" w:rsidRPr="005D569A" w:rsidTr="00143CAD">
        <w:trPr>
          <w:trHeight w:val="1311"/>
        </w:trPr>
        <w:tc>
          <w:tcPr>
            <w:tcW w:w="252" w:type="pct"/>
            <w:vMerge w:val="restart"/>
            <w:shd w:val="clear" w:color="auto" w:fill="auto"/>
          </w:tcPr>
          <w:p w:rsidR="00143CAD" w:rsidRPr="005D569A" w:rsidRDefault="00143CAD" w:rsidP="00E97112">
            <w:pPr>
              <w:ind w:right="-57"/>
              <w:jc w:val="both"/>
              <w:rPr>
                <w:sz w:val="20"/>
                <w:szCs w:val="20"/>
                <w:lang w:val="lv-LV"/>
              </w:rPr>
            </w:pPr>
            <w:r w:rsidRPr="005D569A">
              <w:rPr>
                <w:sz w:val="20"/>
                <w:szCs w:val="20"/>
                <w:lang w:val="lv-LV"/>
              </w:rPr>
              <w:t>B1</w:t>
            </w:r>
          </w:p>
        </w:tc>
        <w:tc>
          <w:tcPr>
            <w:tcW w:w="1034" w:type="pct"/>
            <w:vMerge w:val="restart"/>
            <w:shd w:val="clear" w:color="auto" w:fill="auto"/>
          </w:tcPr>
          <w:p w:rsidR="00143CAD" w:rsidRPr="005D569A" w:rsidRDefault="00143CAD" w:rsidP="00E97112">
            <w:pPr>
              <w:ind w:right="-57"/>
              <w:jc w:val="both"/>
              <w:rPr>
                <w:sz w:val="20"/>
                <w:szCs w:val="20"/>
                <w:lang w:val="lv-LV"/>
              </w:rPr>
            </w:pPr>
            <w:r w:rsidRPr="005D569A">
              <w:rPr>
                <w:noProof/>
                <w:sz w:val="20"/>
                <w:szCs w:val="20"/>
                <w:lang w:val="lv-LV" w:eastAsia="ar-SA"/>
              </w:rPr>
              <w:t>Revīzijas procesa organizācija</w:t>
            </w:r>
          </w:p>
        </w:tc>
        <w:tc>
          <w:tcPr>
            <w:tcW w:w="2212" w:type="pct"/>
            <w:tcBorders>
              <w:bottom w:val="single" w:sz="4" w:space="0" w:color="auto"/>
              <w:right w:val="single" w:sz="4" w:space="0" w:color="auto"/>
            </w:tcBorders>
            <w:shd w:val="clear" w:color="auto" w:fill="auto"/>
          </w:tcPr>
          <w:p w:rsidR="00143CAD" w:rsidRPr="005D569A" w:rsidRDefault="00143CAD" w:rsidP="00E97112">
            <w:pPr>
              <w:ind w:right="-57"/>
              <w:jc w:val="both"/>
              <w:rPr>
                <w:sz w:val="20"/>
                <w:szCs w:val="20"/>
              </w:rPr>
            </w:pP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sniedzis</w:t>
            </w:r>
            <w:proofErr w:type="spellEnd"/>
            <w:r w:rsidRPr="005D569A">
              <w:rPr>
                <w:sz w:val="20"/>
                <w:szCs w:val="20"/>
              </w:rPr>
              <w:t xml:space="preserve"> </w:t>
            </w:r>
            <w:proofErr w:type="spellStart"/>
            <w:r w:rsidRPr="005D569A">
              <w:rPr>
                <w:sz w:val="20"/>
                <w:szCs w:val="20"/>
              </w:rPr>
              <w:t>detalizētu</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procesa</w:t>
            </w:r>
            <w:proofErr w:type="spellEnd"/>
            <w:r w:rsidRPr="005D569A">
              <w:rPr>
                <w:sz w:val="20"/>
                <w:szCs w:val="20"/>
              </w:rPr>
              <w:t xml:space="preserve"> </w:t>
            </w:r>
            <w:proofErr w:type="spellStart"/>
            <w:r w:rsidRPr="005D569A">
              <w:rPr>
                <w:sz w:val="20"/>
                <w:szCs w:val="20"/>
              </w:rPr>
              <w:t>organizācijas</w:t>
            </w:r>
            <w:proofErr w:type="spellEnd"/>
            <w:r w:rsidRPr="005D569A">
              <w:rPr>
                <w:sz w:val="20"/>
                <w:szCs w:val="20"/>
              </w:rPr>
              <w:t xml:space="preserve"> </w:t>
            </w:r>
            <w:proofErr w:type="spellStart"/>
            <w:r w:rsidRPr="005D569A">
              <w:rPr>
                <w:sz w:val="20"/>
                <w:szCs w:val="20"/>
              </w:rPr>
              <w:t>aprakstu</w:t>
            </w:r>
            <w:proofErr w:type="spellEnd"/>
            <w:r w:rsidRPr="005D569A">
              <w:rPr>
                <w:sz w:val="20"/>
                <w:szCs w:val="20"/>
              </w:rPr>
              <w:t xml:space="preserve"> </w:t>
            </w:r>
            <w:proofErr w:type="spellStart"/>
            <w:r w:rsidRPr="005D569A">
              <w:rPr>
                <w:sz w:val="20"/>
                <w:szCs w:val="20"/>
              </w:rPr>
              <w:t>revidējamās</w:t>
            </w:r>
            <w:proofErr w:type="spellEnd"/>
            <w:r w:rsidRPr="005D569A">
              <w:rPr>
                <w:sz w:val="20"/>
                <w:szCs w:val="20"/>
              </w:rPr>
              <w:t xml:space="preserve"> </w:t>
            </w:r>
            <w:proofErr w:type="spellStart"/>
            <w:r w:rsidRPr="005D569A">
              <w:rPr>
                <w:sz w:val="20"/>
                <w:szCs w:val="20"/>
              </w:rPr>
              <w:t>iestādēs</w:t>
            </w:r>
            <w:proofErr w:type="spellEnd"/>
            <w:r w:rsidRPr="005D569A">
              <w:rPr>
                <w:sz w:val="20"/>
                <w:szCs w:val="20"/>
              </w:rPr>
              <w:t xml:space="preserve"> atbilstoši </w:t>
            </w:r>
            <w:proofErr w:type="spellStart"/>
            <w:r w:rsidRPr="005D569A">
              <w:rPr>
                <w:sz w:val="20"/>
                <w:szCs w:val="20"/>
              </w:rPr>
              <w:t>Iepirkuma</w:t>
            </w:r>
            <w:proofErr w:type="spellEnd"/>
            <w:r w:rsidRPr="005D569A">
              <w:rPr>
                <w:sz w:val="20"/>
                <w:szCs w:val="20"/>
              </w:rPr>
              <w:t xml:space="preserve"> </w:t>
            </w:r>
            <w:proofErr w:type="spellStart"/>
            <w:r w:rsidRPr="005D569A">
              <w:rPr>
                <w:sz w:val="20"/>
                <w:szCs w:val="20"/>
              </w:rPr>
              <w:t>noteikumu</w:t>
            </w:r>
            <w:proofErr w:type="spellEnd"/>
            <w:r w:rsidRPr="005D569A">
              <w:rPr>
                <w:sz w:val="20"/>
                <w:szCs w:val="20"/>
              </w:rPr>
              <w:t xml:space="preserve"> 33.2. </w:t>
            </w:r>
            <w:proofErr w:type="spellStart"/>
            <w:proofErr w:type="gramStart"/>
            <w:r w:rsidRPr="005D569A">
              <w:rPr>
                <w:sz w:val="20"/>
                <w:szCs w:val="20"/>
              </w:rPr>
              <w:t>apakšpunkta</w:t>
            </w:r>
            <w:proofErr w:type="spellEnd"/>
            <w:proofErr w:type="gramEnd"/>
            <w:r w:rsidRPr="005D569A">
              <w:rPr>
                <w:sz w:val="20"/>
                <w:szCs w:val="20"/>
              </w:rPr>
              <w:t xml:space="preserve"> prasībām, </w:t>
            </w:r>
            <w:proofErr w:type="spellStart"/>
            <w:r w:rsidRPr="005D569A">
              <w:rPr>
                <w:sz w:val="20"/>
                <w:szCs w:val="20"/>
              </w:rPr>
              <w:t>kas</w:t>
            </w:r>
            <w:proofErr w:type="spellEnd"/>
            <w:r w:rsidRPr="005D569A">
              <w:rPr>
                <w:sz w:val="20"/>
                <w:szCs w:val="20"/>
              </w:rPr>
              <w:t xml:space="preserve"> </w:t>
            </w:r>
            <w:proofErr w:type="spellStart"/>
            <w:r w:rsidRPr="005D569A">
              <w:rPr>
                <w:sz w:val="20"/>
                <w:szCs w:val="20"/>
              </w:rPr>
              <w:t>pilnībā</w:t>
            </w:r>
            <w:proofErr w:type="spellEnd"/>
            <w:r w:rsidRPr="005D569A">
              <w:rPr>
                <w:sz w:val="20"/>
                <w:szCs w:val="20"/>
              </w:rPr>
              <w:t xml:space="preserve"> </w:t>
            </w:r>
            <w:proofErr w:type="spellStart"/>
            <w:r w:rsidRPr="005D569A">
              <w:rPr>
                <w:sz w:val="20"/>
                <w:szCs w:val="20"/>
              </w:rPr>
              <w:t>apliecina</w:t>
            </w:r>
            <w:proofErr w:type="spellEnd"/>
            <w:r w:rsidRPr="005D569A">
              <w:rPr>
                <w:sz w:val="20"/>
                <w:szCs w:val="20"/>
              </w:rPr>
              <w:t xml:space="preserve"> </w:t>
            </w:r>
            <w:proofErr w:type="spellStart"/>
            <w:r w:rsidRPr="005D569A">
              <w:rPr>
                <w:sz w:val="20"/>
                <w:szCs w:val="20"/>
              </w:rPr>
              <w:t>pretendenta</w:t>
            </w:r>
            <w:proofErr w:type="spellEnd"/>
            <w:r w:rsidRPr="005D569A">
              <w:rPr>
                <w:sz w:val="20"/>
                <w:szCs w:val="20"/>
              </w:rPr>
              <w:t xml:space="preserve"> </w:t>
            </w:r>
            <w:proofErr w:type="spellStart"/>
            <w:r w:rsidRPr="005D569A">
              <w:rPr>
                <w:sz w:val="20"/>
                <w:szCs w:val="20"/>
              </w:rPr>
              <w:t>tehniskā</w:t>
            </w:r>
            <w:proofErr w:type="spellEnd"/>
            <w:r w:rsidRPr="005D569A">
              <w:rPr>
                <w:sz w:val="20"/>
                <w:szCs w:val="20"/>
              </w:rPr>
              <w:t xml:space="preserve"> </w:t>
            </w:r>
            <w:proofErr w:type="spellStart"/>
            <w:r w:rsidRPr="005D569A">
              <w:rPr>
                <w:sz w:val="20"/>
                <w:szCs w:val="20"/>
              </w:rPr>
              <w:t>piedāvājuma</w:t>
            </w:r>
            <w:proofErr w:type="spellEnd"/>
            <w:r w:rsidRPr="005D569A">
              <w:rPr>
                <w:sz w:val="20"/>
                <w:szCs w:val="20"/>
              </w:rPr>
              <w:t xml:space="preserve"> </w:t>
            </w:r>
            <w:proofErr w:type="spellStart"/>
            <w:r w:rsidRPr="005D569A">
              <w:rPr>
                <w:sz w:val="20"/>
                <w:szCs w:val="20"/>
              </w:rPr>
              <w:t>atbilstību</w:t>
            </w:r>
            <w:proofErr w:type="spellEnd"/>
            <w:r w:rsidRPr="005D569A">
              <w:rPr>
                <w:sz w:val="20"/>
                <w:szCs w:val="20"/>
              </w:rPr>
              <w:t xml:space="preserve"> </w:t>
            </w:r>
            <w:proofErr w:type="spellStart"/>
            <w:r w:rsidRPr="005D569A">
              <w:rPr>
                <w:sz w:val="20"/>
                <w:szCs w:val="20"/>
              </w:rPr>
              <w:t>izvirzītajām</w:t>
            </w:r>
            <w:proofErr w:type="spellEnd"/>
            <w:r w:rsidRPr="005D569A">
              <w:rPr>
                <w:sz w:val="20"/>
                <w:szCs w:val="20"/>
              </w:rPr>
              <w:t xml:space="preserve"> prasībām. </w:t>
            </w:r>
            <w:proofErr w:type="spellStart"/>
            <w:r w:rsidRPr="005D569A">
              <w:rPr>
                <w:sz w:val="20"/>
                <w:szCs w:val="20"/>
              </w:rPr>
              <w:t>Teicama</w:t>
            </w:r>
            <w:proofErr w:type="spellEnd"/>
            <w:r w:rsidRPr="005D569A">
              <w:rPr>
                <w:sz w:val="20"/>
                <w:szCs w:val="20"/>
              </w:rPr>
              <w:t xml:space="preserve"> </w:t>
            </w:r>
            <w:proofErr w:type="spellStart"/>
            <w:r w:rsidRPr="005D569A">
              <w:rPr>
                <w:sz w:val="20"/>
                <w:szCs w:val="20"/>
              </w:rPr>
              <w:t>izpratne</w:t>
            </w:r>
            <w:proofErr w:type="spellEnd"/>
            <w:r w:rsidRPr="005D569A">
              <w:rPr>
                <w:sz w:val="20"/>
                <w:szCs w:val="20"/>
              </w:rPr>
              <w:t xml:space="preserve"> par </w:t>
            </w:r>
            <w:proofErr w:type="spellStart"/>
            <w:r w:rsidRPr="005D569A">
              <w:rPr>
                <w:sz w:val="20"/>
                <w:szCs w:val="20"/>
              </w:rPr>
              <w:t>pašvaldības</w:t>
            </w:r>
            <w:proofErr w:type="spellEnd"/>
            <w:r w:rsidRPr="005D569A">
              <w:rPr>
                <w:sz w:val="20"/>
                <w:szCs w:val="20"/>
              </w:rPr>
              <w:t xml:space="preserve"> </w:t>
            </w:r>
            <w:proofErr w:type="spellStart"/>
            <w:r w:rsidRPr="005D569A">
              <w:rPr>
                <w:sz w:val="20"/>
                <w:szCs w:val="20"/>
              </w:rPr>
              <w:t>uzskaites</w:t>
            </w:r>
            <w:proofErr w:type="spellEnd"/>
            <w:r w:rsidRPr="005D569A">
              <w:rPr>
                <w:sz w:val="20"/>
                <w:szCs w:val="20"/>
              </w:rPr>
              <w:t xml:space="preserve"> </w:t>
            </w:r>
            <w:proofErr w:type="spellStart"/>
            <w:r w:rsidRPr="005D569A">
              <w:rPr>
                <w:sz w:val="20"/>
                <w:szCs w:val="20"/>
              </w:rPr>
              <w:t>specifiku</w:t>
            </w:r>
            <w:proofErr w:type="spellEnd"/>
            <w:r w:rsidRPr="005D569A">
              <w:rPr>
                <w:sz w:val="20"/>
                <w:szCs w:val="20"/>
              </w:rPr>
              <w:t xml:space="preserve"> un </w:t>
            </w:r>
            <w:proofErr w:type="spellStart"/>
            <w:r w:rsidRPr="005D569A">
              <w:rPr>
                <w:sz w:val="20"/>
                <w:szCs w:val="20"/>
              </w:rPr>
              <w:t>būtiskākajiem</w:t>
            </w:r>
            <w:proofErr w:type="spellEnd"/>
            <w:r w:rsidRPr="005D569A">
              <w:rPr>
                <w:sz w:val="20"/>
                <w:szCs w:val="20"/>
              </w:rPr>
              <w:t xml:space="preserve"> </w:t>
            </w:r>
            <w:proofErr w:type="spellStart"/>
            <w:r w:rsidRPr="005D569A">
              <w:rPr>
                <w:sz w:val="20"/>
                <w:szCs w:val="20"/>
              </w:rPr>
              <w:t>jautājumiem</w:t>
            </w:r>
            <w:proofErr w:type="spellEnd"/>
            <w:r w:rsidRPr="005D569A">
              <w:rPr>
                <w:sz w:val="20"/>
                <w:szCs w:val="20"/>
              </w:rPr>
              <w:t xml:space="preserve">, </w:t>
            </w:r>
            <w:proofErr w:type="spellStart"/>
            <w:r w:rsidRPr="005D569A">
              <w:rPr>
                <w:sz w:val="20"/>
                <w:szCs w:val="20"/>
              </w:rPr>
              <w:t>kuri</w:t>
            </w:r>
            <w:proofErr w:type="spellEnd"/>
            <w:r w:rsidRPr="005D569A">
              <w:rPr>
                <w:sz w:val="20"/>
                <w:szCs w:val="20"/>
              </w:rPr>
              <w:t xml:space="preserve"> </w:t>
            </w:r>
            <w:proofErr w:type="spellStart"/>
            <w:r w:rsidRPr="005D569A">
              <w:rPr>
                <w:sz w:val="20"/>
                <w:szCs w:val="20"/>
              </w:rPr>
              <w:t>risināmi</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ietvaros</w:t>
            </w:r>
            <w:proofErr w:type="spellEnd"/>
          </w:p>
        </w:tc>
        <w:tc>
          <w:tcPr>
            <w:tcW w:w="688" w:type="pct"/>
            <w:tcBorders>
              <w:left w:val="single" w:sz="4" w:space="0" w:color="auto"/>
              <w:bottom w:val="single" w:sz="4" w:space="0" w:color="auto"/>
            </w:tcBorders>
            <w:vAlign w:val="center"/>
          </w:tcPr>
          <w:p w:rsidR="00143CAD" w:rsidRPr="005D569A" w:rsidRDefault="00143CAD" w:rsidP="00E97112">
            <w:pPr>
              <w:jc w:val="center"/>
              <w:rPr>
                <w:sz w:val="20"/>
                <w:szCs w:val="20"/>
              </w:rPr>
            </w:pPr>
            <w:r w:rsidRPr="005D569A">
              <w:rPr>
                <w:sz w:val="20"/>
                <w:szCs w:val="20"/>
              </w:rPr>
              <w:t>6</w:t>
            </w:r>
          </w:p>
        </w:tc>
        <w:tc>
          <w:tcPr>
            <w:tcW w:w="813" w:type="pct"/>
            <w:tcBorders>
              <w:left w:val="single" w:sz="4" w:space="0" w:color="auto"/>
              <w:bottom w:val="single" w:sz="4" w:space="0" w:color="auto"/>
            </w:tcBorders>
            <w:vAlign w:val="center"/>
          </w:tcPr>
          <w:p w:rsidR="00143CAD" w:rsidRPr="005D569A" w:rsidRDefault="00143CAD" w:rsidP="00E97112">
            <w:pPr>
              <w:ind w:right="-57"/>
              <w:jc w:val="center"/>
              <w:rPr>
                <w:sz w:val="20"/>
                <w:szCs w:val="20"/>
                <w:lang w:val="lv-LV"/>
              </w:rPr>
            </w:pPr>
            <w:r w:rsidRPr="005D569A">
              <w:rPr>
                <w:sz w:val="20"/>
                <w:szCs w:val="20"/>
                <w:lang w:val="lv-LV"/>
              </w:rPr>
              <w:t>6</w:t>
            </w:r>
          </w:p>
        </w:tc>
      </w:tr>
      <w:tr w:rsidR="00143CAD" w:rsidRPr="005D569A" w:rsidTr="00143CAD">
        <w:trPr>
          <w:trHeight w:val="190"/>
        </w:trPr>
        <w:tc>
          <w:tcPr>
            <w:tcW w:w="252" w:type="pct"/>
            <w:vMerge/>
            <w:shd w:val="clear" w:color="auto" w:fill="auto"/>
          </w:tcPr>
          <w:p w:rsidR="00143CAD" w:rsidRPr="005D569A" w:rsidRDefault="00143CAD" w:rsidP="00E97112">
            <w:pPr>
              <w:ind w:right="-57"/>
              <w:jc w:val="both"/>
              <w:rPr>
                <w:sz w:val="20"/>
                <w:szCs w:val="20"/>
                <w:lang w:val="lv-LV"/>
              </w:rPr>
            </w:pPr>
          </w:p>
        </w:tc>
        <w:tc>
          <w:tcPr>
            <w:tcW w:w="1034" w:type="pct"/>
            <w:vMerge/>
            <w:shd w:val="clear" w:color="auto" w:fill="auto"/>
          </w:tcPr>
          <w:p w:rsidR="00143CAD" w:rsidRPr="005D569A" w:rsidRDefault="00143CAD" w:rsidP="00E97112">
            <w:pPr>
              <w:ind w:right="-57"/>
              <w:jc w:val="both"/>
              <w:rPr>
                <w:noProof/>
                <w:sz w:val="20"/>
                <w:szCs w:val="20"/>
                <w:lang w:val="lv-LV" w:eastAsia="ar-SA"/>
              </w:rPr>
            </w:pPr>
          </w:p>
        </w:tc>
        <w:tc>
          <w:tcPr>
            <w:tcW w:w="2212" w:type="pct"/>
            <w:tcBorders>
              <w:top w:val="single" w:sz="4" w:space="0" w:color="auto"/>
              <w:bottom w:val="single" w:sz="4" w:space="0" w:color="auto"/>
              <w:right w:val="single" w:sz="4" w:space="0" w:color="auto"/>
            </w:tcBorders>
            <w:shd w:val="clear" w:color="auto" w:fill="auto"/>
          </w:tcPr>
          <w:p w:rsidR="00143CAD" w:rsidRPr="005D569A" w:rsidRDefault="00143CAD" w:rsidP="00E97112">
            <w:pPr>
              <w:ind w:right="-57"/>
              <w:jc w:val="both"/>
              <w:rPr>
                <w:sz w:val="20"/>
                <w:szCs w:val="20"/>
              </w:rPr>
            </w:pP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sniedzis</w:t>
            </w:r>
            <w:proofErr w:type="spellEnd"/>
            <w:r w:rsidRPr="005D569A">
              <w:rPr>
                <w:sz w:val="20"/>
                <w:szCs w:val="20"/>
              </w:rPr>
              <w:t xml:space="preserve"> </w:t>
            </w:r>
            <w:proofErr w:type="spellStart"/>
            <w:r w:rsidRPr="005D569A">
              <w:rPr>
                <w:sz w:val="20"/>
                <w:szCs w:val="20"/>
              </w:rPr>
              <w:t>vispārēju</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procesa</w:t>
            </w:r>
            <w:proofErr w:type="spellEnd"/>
            <w:r w:rsidRPr="005D569A">
              <w:rPr>
                <w:sz w:val="20"/>
                <w:szCs w:val="20"/>
              </w:rPr>
              <w:t xml:space="preserve"> </w:t>
            </w:r>
            <w:proofErr w:type="spellStart"/>
            <w:r w:rsidRPr="005D569A">
              <w:rPr>
                <w:sz w:val="20"/>
                <w:szCs w:val="20"/>
              </w:rPr>
              <w:t>organizācijas</w:t>
            </w:r>
            <w:proofErr w:type="spellEnd"/>
            <w:r w:rsidRPr="005D569A">
              <w:rPr>
                <w:sz w:val="20"/>
                <w:szCs w:val="20"/>
              </w:rPr>
              <w:t xml:space="preserve"> </w:t>
            </w:r>
            <w:proofErr w:type="spellStart"/>
            <w:r w:rsidRPr="005D569A">
              <w:rPr>
                <w:sz w:val="20"/>
                <w:szCs w:val="20"/>
              </w:rPr>
              <w:t>aprakstu</w:t>
            </w:r>
            <w:proofErr w:type="spellEnd"/>
            <w:r w:rsidRPr="005D569A">
              <w:rPr>
                <w:sz w:val="20"/>
                <w:szCs w:val="20"/>
              </w:rPr>
              <w:t xml:space="preserve"> </w:t>
            </w:r>
            <w:proofErr w:type="spellStart"/>
            <w:r w:rsidRPr="005D569A">
              <w:rPr>
                <w:sz w:val="20"/>
                <w:szCs w:val="20"/>
              </w:rPr>
              <w:t>revidējamās</w:t>
            </w:r>
            <w:proofErr w:type="spellEnd"/>
            <w:r w:rsidRPr="005D569A">
              <w:rPr>
                <w:sz w:val="20"/>
                <w:szCs w:val="20"/>
              </w:rPr>
              <w:t xml:space="preserve"> </w:t>
            </w:r>
            <w:proofErr w:type="spellStart"/>
            <w:r w:rsidRPr="005D569A">
              <w:rPr>
                <w:sz w:val="20"/>
                <w:szCs w:val="20"/>
              </w:rPr>
              <w:t>iestādēs</w:t>
            </w:r>
            <w:proofErr w:type="spellEnd"/>
            <w:r w:rsidRPr="005D569A">
              <w:rPr>
                <w:sz w:val="20"/>
                <w:szCs w:val="20"/>
              </w:rPr>
              <w:t xml:space="preserve"> atbilstoši </w:t>
            </w:r>
            <w:proofErr w:type="spellStart"/>
            <w:r w:rsidRPr="005D569A">
              <w:rPr>
                <w:sz w:val="20"/>
                <w:szCs w:val="20"/>
              </w:rPr>
              <w:t>Iepirkuma</w:t>
            </w:r>
            <w:proofErr w:type="spellEnd"/>
            <w:r w:rsidRPr="005D569A">
              <w:rPr>
                <w:sz w:val="20"/>
                <w:szCs w:val="20"/>
              </w:rPr>
              <w:t xml:space="preserve"> </w:t>
            </w:r>
            <w:proofErr w:type="spellStart"/>
            <w:r w:rsidRPr="005D569A">
              <w:rPr>
                <w:sz w:val="20"/>
                <w:szCs w:val="20"/>
              </w:rPr>
              <w:t>noteikumu</w:t>
            </w:r>
            <w:proofErr w:type="spellEnd"/>
            <w:r w:rsidRPr="005D569A">
              <w:rPr>
                <w:sz w:val="20"/>
                <w:szCs w:val="20"/>
              </w:rPr>
              <w:t xml:space="preserve"> 33.2. </w:t>
            </w:r>
            <w:proofErr w:type="spellStart"/>
            <w:proofErr w:type="gramStart"/>
            <w:r w:rsidRPr="005D569A">
              <w:rPr>
                <w:sz w:val="20"/>
                <w:szCs w:val="20"/>
              </w:rPr>
              <w:t>apakšpunkta</w:t>
            </w:r>
            <w:proofErr w:type="spellEnd"/>
            <w:proofErr w:type="gramEnd"/>
            <w:r w:rsidRPr="005D569A">
              <w:rPr>
                <w:sz w:val="20"/>
                <w:szCs w:val="20"/>
              </w:rPr>
              <w:t xml:space="preserve"> prasībām, </w:t>
            </w:r>
            <w:proofErr w:type="spellStart"/>
            <w:r w:rsidRPr="005D569A">
              <w:rPr>
                <w:sz w:val="20"/>
                <w:szCs w:val="20"/>
              </w:rPr>
              <w:t>kas</w:t>
            </w:r>
            <w:proofErr w:type="spellEnd"/>
            <w:r w:rsidRPr="005D569A">
              <w:rPr>
                <w:sz w:val="20"/>
                <w:szCs w:val="20"/>
              </w:rPr>
              <w:t xml:space="preserve"> </w:t>
            </w:r>
            <w:proofErr w:type="spellStart"/>
            <w:r w:rsidRPr="005D569A">
              <w:rPr>
                <w:sz w:val="20"/>
                <w:szCs w:val="20"/>
              </w:rPr>
              <w:t>daļēji</w:t>
            </w:r>
            <w:proofErr w:type="spellEnd"/>
            <w:r w:rsidRPr="005D569A">
              <w:rPr>
                <w:sz w:val="20"/>
                <w:szCs w:val="20"/>
              </w:rPr>
              <w:t xml:space="preserve"> </w:t>
            </w:r>
            <w:proofErr w:type="spellStart"/>
            <w:r w:rsidRPr="005D569A">
              <w:rPr>
                <w:sz w:val="20"/>
                <w:szCs w:val="20"/>
              </w:rPr>
              <w:t>apliecina</w:t>
            </w:r>
            <w:proofErr w:type="spellEnd"/>
            <w:r w:rsidRPr="005D569A">
              <w:rPr>
                <w:sz w:val="20"/>
                <w:szCs w:val="20"/>
              </w:rPr>
              <w:t xml:space="preserve"> </w:t>
            </w:r>
            <w:proofErr w:type="spellStart"/>
            <w:r w:rsidRPr="005D569A">
              <w:rPr>
                <w:sz w:val="20"/>
                <w:szCs w:val="20"/>
              </w:rPr>
              <w:t>pretendenta</w:t>
            </w:r>
            <w:proofErr w:type="spellEnd"/>
            <w:r w:rsidRPr="005D569A">
              <w:rPr>
                <w:sz w:val="20"/>
                <w:szCs w:val="20"/>
              </w:rPr>
              <w:t xml:space="preserve"> </w:t>
            </w:r>
            <w:proofErr w:type="spellStart"/>
            <w:r w:rsidRPr="005D569A">
              <w:rPr>
                <w:sz w:val="20"/>
                <w:szCs w:val="20"/>
              </w:rPr>
              <w:t>tehniskā</w:t>
            </w:r>
            <w:proofErr w:type="spellEnd"/>
            <w:r w:rsidRPr="005D569A">
              <w:rPr>
                <w:sz w:val="20"/>
                <w:szCs w:val="20"/>
              </w:rPr>
              <w:t xml:space="preserve"> </w:t>
            </w:r>
            <w:proofErr w:type="spellStart"/>
            <w:r w:rsidRPr="005D569A">
              <w:rPr>
                <w:sz w:val="20"/>
                <w:szCs w:val="20"/>
              </w:rPr>
              <w:t>piedāvājuma</w:t>
            </w:r>
            <w:proofErr w:type="spellEnd"/>
            <w:r w:rsidRPr="005D569A">
              <w:rPr>
                <w:sz w:val="20"/>
                <w:szCs w:val="20"/>
              </w:rPr>
              <w:t xml:space="preserve"> </w:t>
            </w:r>
            <w:proofErr w:type="spellStart"/>
            <w:r w:rsidRPr="005D569A">
              <w:rPr>
                <w:sz w:val="20"/>
                <w:szCs w:val="20"/>
              </w:rPr>
              <w:t>atbilstību</w:t>
            </w:r>
            <w:proofErr w:type="spellEnd"/>
            <w:r w:rsidRPr="005D569A">
              <w:rPr>
                <w:sz w:val="20"/>
                <w:szCs w:val="20"/>
              </w:rPr>
              <w:t xml:space="preserve"> </w:t>
            </w:r>
            <w:proofErr w:type="spellStart"/>
            <w:r w:rsidRPr="005D569A">
              <w:rPr>
                <w:sz w:val="20"/>
                <w:szCs w:val="20"/>
              </w:rPr>
              <w:t>izvirzītajām</w:t>
            </w:r>
            <w:proofErr w:type="spellEnd"/>
            <w:r w:rsidRPr="005D569A">
              <w:rPr>
                <w:sz w:val="20"/>
                <w:szCs w:val="20"/>
              </w:rPr>
              <w:t xml:space="preserve"> prasībām. Ir </w:t>
            </w:r>
            <w:proofErr w:type="spellStart"/>
            <w:r w:rsidRPr="005D569A">
              <w:rPr>
                <w:sz w:val="20"/>
                <w:szCs w:val="20"/>
              </w:rPr>
              <w:t>izpratne</w:t>
            </w:r>
            <w:proofErr w:type="spellEnd"/>
            <w:r w:rsidRPr="005D569A">
              <w:rPr>
                <w:sz w:val="20"/>
                <w:szCs w:val="20"/>
              </w:rPr>
              <w:t xml:space="preserve"> par </w:t>
            </w:r>
            <w:proofErr w:type="spellStart"/>
            <w:r w:rsidRPr="005D569A">
              <w:rPr>
                <w:sz w:val="20"/>
                <w:szCs w:val="20"/>
              </w:rPr>
              <w:t>pašvaldības</w:t>
            </w:r>
            <w:proofErr w:type="spellEnd"/>
            <w:r w:rsidRPr="005D569A">
              <w:rPr>
                <w:sz w:val="20"/>
                <w:szCs w:val="20"/>
              </w:rPr>
              <w:t xml:space="preserve"> </w:t>
            </w:r>
            <w:proofErr w:type="spellStart"/>
            <w:r w:rsidRPr="005D569A">
              <w:rPr>
                <w:sz w:val="20"/>
                <w:szCs w:val="20"/>
              </w:rPr>
              <w:t>uzskaites</w:t>
            </w:r>
            <w:proofErr w:type="spellEnd"/>
            <w:r w:rsidRPr="005D569A">
              <w:rPr>
                <w:sz w:val="20"/>
                <w:szCs w:val="20"/>
              </w:rPr>
              <w:t xml:space="preserve"> </w:t>
            </w:r>
            <w:proofErr w:type="spellStart"/>
            <w:r w:rsidRPr="005D569A">
              <w:rPr>
                <w:sz w:val="20"/>
                <w:szCs w:val="20"/>
              </w:rPr>
              <w:t>specifiku</w:t>
            </w:r>
            <w:proofErr w:type="spellEnd"/>
            <w:r w:rsidRPr="005D569A">
              <w:rPr>
                <w:sz w:val="20"/>
                <w:szCs w:val="20"/>
              </w:rPr>
              <w:t xml:space="preserve"> un </w:t>
            </w:r>
            <w:proofErr w:type="spellStart"/>
            <w:r w:rsidRPr="005D569A">
              <w:rPr>
                <w:sz w:val="20"/>
                <w:szCs w:val="20"/>
              </w:rPr>
              <w:t>būtiskākajiem</w:t>
            </w:r>
            <w:proofErr w:type="spellEnd"/>
            <w:r w:rsidRPr="005D569A">
              <w:rPr>
                <w:sz w:val="20"/>
                <w:szCs w:val="20"/>
              </w:rPr>
              <w:t xml:space="preserve"> </w:t>
            </w:r>
            <w:proofErr w:type="spellStart"/>
            <w:r w:rsidRPr="005D569A">
              <w:rPr>
                <w:sz w:val="20"/>
                <w:szCs w:val="20"/>
              </w:rPr>
              <w:t>jautājumiem</w:t>
            </w:r>
            <w:proofErr w:type="spellEnd"/>
            <w:r w:rsidRPr="005D569A">
              <w:rPr>
                <w:sz w:val="20"/>
                <w:szCs w:val="20"/>
              </w:rPr>
              <w:t xml:space="preserve">, </w:t>
            </w:r>
            <w:proofErr w:type="spellStart"/>
            <w:r w:rsidRPr="005D569A">
              <w:rPr>
                <w:sz w:val="20"/>
                <w:szCs w:val="20"/>
              </w:rPr>
              <w:t>kuri</w:t>
            </w:r>
            <w:proofErr w:type="spellEnd"/>
            <w:r w:rsidRPr="005D569A">
              <w:rPr>
                <w:sz w:val="20"/>
                <w:szCs w:val="20"/>
              </w:rPr>
              <w:t xml:space="preserve"> </w:t>
            </w:r>
            <w:proofErr w:type="spellStart"/>
            <w:r w:rsidRPr="005D569A">
              <w:rPr>
                <w:sz w:val="20"/>
                <w:szCs w:val="20"/>
              </w:rPr>
              <w:t>risināmi</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ietvaros</w:t>
            </w:r>
            <w:proofErr w:type="spellEnd"/>
          </w:p>
        </w:tc>
        <w:tc>
          <w:tcPr>
            <w:tcW w:w="688" w:type="pct"/>
            <w:tcBorders>
              <w:top w:val="single" w:sz="4" w:space="0" w:color="auto"/>
              <w:left w:val="single" w:sz="4" w:space="0" w:color="auto"/>
              <w:bottom w:val="single" w:sz="4" w:space="0" w:color="auto"/>
            </w:tcBorders>
            <w:vAlign w:val="center"/>
          </w:tcPr>
          <w:p w:rsidR="00143CAD" w:rsidRPr="005D569A" w:rsidRDefault="00143CAD" w:rsidP="00E97112">
            <w:pPr>
              <w:jc w:val="center"/>
              <w:rPr>
                <w:sz w:val="20"/>
                <w:szCs w:val="20"/>
              </w:rPr>
            </w:pPr>
            <w:r w:rsidRPr="005D569A">
              <w:rPr>
                <w:sz w:val="20"/>
                <w:szCs w:val="20"/>
              </w:rPr>
              <w:t>3</w:t>
            </w:r>
          </w:p>
        </w:tc>
        <w:tc>
          <w:tcPr>
            <w:tcW w:w="813" w:type="pct"/>
            <w:tcBorders>
              <w:top w:val="single" w:sz="4" w:space="0" w:color="auto"/>
              <w:left w:val="single" w:sz="4" w:space="0" w:color="auto"/>
              <w:bottom w:val="single" w:sz="4" w:space="0" w:color="auto"/>
            </w:tcBorders>
            <w:vAlign w:val="center"/>
          </w:tcPr>
          <w:p w:rsidR="00143CAD" w:rsidRPr="005D569A" w:rsidRDefault="00143CAD" w:rsidP="00E97112">
            <w:pPr>
              <w:ind w:right="-57"/>
              <w:jc w:val="center"/>
              <w:rPr>
                <w:sz w:val="20"/>
                <w:szCs w:val="20"/>
                <w:lang w:val="lv-LV"/>
              </w:rPr>
            </w:pPr>
            <w:r w:rsidRPr="005D569A">
              <w:rPr>
                <w:sz w:val="20"/>
                <w:szCs w:val="20"/>
                <w:lang w:val="lv-LV"/>
              </w:rPr>
              <w:t>-</w:t>
            </w:r>
          </w:p>
        </w:tc>
      </w:tr>
      <w:tr w:rsidR="00143CAD" w:rsidRPr="005D569A" w:rsidTr="00143CAD">
        <w:trPr>
          <w:trHeight w:val="270"/>
        </w:trPr>
        <w:tc>
          <w:tcPr>
            <w:tcW w:w="252" w:type="pct"/>
            <w:vMerge/>
            <w:shd w:val="clear" w:color="auto" w:fill="auto"/>
          </w:tcPr>
          <w:p w:rsidR="00143CAD" w:rsidRPr="005D569A" w:rsidRDefault="00143CAD" w:rsidP="00E97112">
            <w:pPr>
              <w:ind w:right="-57"/>
              <w:jc w:val="both"/>
              <w:rPr>
                <w:sz w:val="20"/>
                <w:szCs w:val="20"/>
                <w:lang w:val="lv-LV"/>
              </w:rPr>
            </w:pPr>
          </w:p>
        </w:tc>
        <w:tc>
          <w:tcPr>
            <w:tcW w:w="1034" w:type="pct"/>
            <w:vMerge/>
            <w:shd w:val="clear" w:color="auto" w:fill="auto"/>
          </w:tcPr>
          <w:p w:rsidR="00143CAD" w:rsidRPr="005D569A" w:rsidRDefault="00143CAD" w:rsidP="00E97112">
            <w:pPr>
              <w:ind w:right="-57"/>
              <w:jc w:val="both"/>
              <w:rPr>
                <w:noProof/>
                <w:sz w:val="20"/>
                <w:szCs w:val="20"/>
                <w:lang w:val="lv-LV" w:eastAsia="ar-SA"/>
              </w:rPr>
            </w:pPr>
          </w:p>
        </w:tc>
        <w:tc>
          <w:tcPr>
            <w:tcW w:w="2212" w:type="pct"/>
            <w:tcBorders>
              <w:top w:val="single" w:sz="4" w:space="0" w:color="auto"/>
              <w:bottom w:val="single" w:sz="4" w:space="0" w:color="auto"/>
              <w:right w:val="single" w:sz="4" w:space="0" w:color="auto"/>
            </w:tcBorders>
            <w:shd w:val="clear" w:color="auto" w:fill="auto"/>
          </w:tcPr>
          <w:p w:rsidR="00143CAD" w:rsidRPr="005D569A" w:rsidRDefault="00143CAD" w:rsidP="00E97112">
            <w:pPr>
              <w:ind w:right="-57"/>
              <w:jc w:val="both"/>
              <w:rPr>
                <w:sz w:val="20"/>
                <w:szCs w:val="20"/>
              </w:rPr>
            </w:pP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sniedzis</w:t>
            </w:r>
            <w:proofErr w:type="spellEnd"/>
            <w:r w:rsidRPr="005D569A">
              <w:rPr>
                <w:sz w:val="20"/>
                <w:szCs w:val="20"/>
              </w:rPr>
              <w:t xml:space="preserve"> </w:t>
            </w:r>
            <w:proofErr w:type="spellStart"/>
            <w:r w:rsidRPr="005D569A">
              <w:rPr>
                <w:sz w:val="20"/>
                <w:szCs w:val="20"/>
              </w:rPr>
              <w:t>nepilnīgu</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procesa</w:t>
            </w:r>
            <w:proofErr w:type="spellEnd"/>
            <w:r w:rsidRPr="005D569A">
              <w:rPr>
                <w:sz w:val="20"/>
                <w:szCs w:val="20"/>
              </w:rPr>
              <w:t xml:space="preserve"> </w:t>
            </w:r>
            <w:proofErr w:type="spellStart"/>
            <w:r w:rsidRPr="005D569A">
              <w:rPr>
                <w:sz w:val="20"/>
                <w:szCs w:val="20"/>
              </w:rPr>
              <w:t>organizācijas</w:t>
            </w:r>
            <w:proofErr w:type="spellEnd"/>
            <w:r w:rsidRPr="005D569A">
              <w:rPr>
                <w:sz w:val="20"/>
                <w:szCs w:val="20"/>
              </w:rPr>
              <w:t xml:space="preserve"> </w:t>
            </w:r>
            <w:proofErr w:type="spellStart"/>
            <w:r w:rsidRPr="005D569A">
              <w:rPr>
                <w:sz w:val="20"/>
                <w:szCs w:val="20"/>
              </w:rPr>
              <w:t>aprakstu</w:t>
            </w:r>
            <w:proofErr w:type="spellEnd"/>
            <w:r w:rsidRPr="005D569A">
              <w:rPr>
                <w:sz w:val="20"/>
                <w:szCs w:val="20"/>
              </w:rPr>
              <w:t xml:space="preserve"> </w:t>
            </w:r>
            <w:proofErr w:type="spellStart"/>
            <w:r w:rsidRPr="005D569A">
              <w:rPr>
                <w:sz w:val="20"/>
                <w:szCs w:val="20"/>
              </w:rPr>
              <w:t>revidējamās</w:t>
            </w:r>
            <w:proofErr w:type="spellEnd"/>
            <w:r w:rsidRPr="005D569A">
              <w:rPr>
                <w:sz w:val="20"/>
                <w:szCs w:val="20"/>
              </w:rPr>
              <w:t xml:space="preserve"> </w:t>
            </w:r>
            <w:proofErr w:type="spellStart"/>
            <w:r w:rsidRPr="005D569A">
              <w:rPr>
                <w:sz w:val="20"/>
                <w:szCs w:val="20"/>
              </w:rPr>
              <w:t>iestādēs</w:t>
            </w:r>
            <w:proofErr w:type="spellEnd"/>
            <w:r w:rsidRPr="005D569A">
              <w:rPr>
                <w:sz w:val="20"/>
                <w:szCs w:val="20"/>
              </w:rPr>
              <w:t xml:space="preserve"> atbilstoši </w:t>
            </w:r>
            <w:proofErr w:type="spellStart"/>
            <w:r w:rsidRPr="005D569A">
              <w:rPr>
                <w:sz w:val="20"/>
                <w:szCs w:val="20"/>
              </w:rPr>
              <w:t>Iepirkuma</w:t>
            </w:r>
            <w:proofErr w:type="spellEnd"/>
            <w:r w:rsidRPr="005D569A">
              <w:rPr>
                <w:sz w:val="20"/>
                <w:szCs w:val="20"/>
              </w:rPr>
              <w:t xml:space="preserve"> </w:t>
            </w:r>
            <w:proofErr w:type="spellStart"/>
            <w:r w:rsidRPr="005D569A">
              <w:rPr>
                <w:sz w:val="20"/>
                <w:szCs w:val="20"/>
              </w:rPr>
              <w:t>noteikumu</w:t>
            </w:r>
            <w:proofErr w:type="spellEnd"/>
            <w:r w:rsidRPr="005D569A">
              <w:rPr>
                <w:sz w:val="20"/>
                <w:szCs w:val="20"/>
              </w:rPr>
              <w:t xml:space="preserve"> 33.2. </w:t>
            </w:r>
            <w:proofErr w:type="spellStart"/>
            <w:proofErr w:type="gramStart"/>
            <w:r w:rsidRPr="005D569A">
              <w:rPr>
                <w:sz w:val="20"/>
                <w:szCs w:val="20"/>
              </w:rPr>
              <w:t>apakšpunkta</w:t>
            </w:r>
            <w:proofErr w:type="spellEnd"/>
            <w:proofErr w:type="gramEnd"/>
            <w:r w:rsidRPr="005D569A">
              <w:rPr>
                <w:sz w:val="20"/>
                <w:szCs w:val="20"/>
              </w:rPr>
              <w:t xml:space="preserve"> prasībām </w:t>
            </w:r>
            <w:proofErr w:type="spellStart"/>
            <w:r w:rsidRPr="005D569A">
              <w:rPr>
                <w:sz w:val="20"/>
                <w:szCs w:val="20"/>
              </w:rPr>
              <w:t>vai</w:t>
            </w:r>
            <w:proofErr w:type="spellEnd"/>
            <w:r w:rsidRPr="005D569A">
              <w:rPr>
                <w:sz w:val="20"/>
                <w:szCs w:val="20"/>
              </w:rPr>
              <w:t xml:space="preserve"> </w:t>
            </w:r>
            <w:proofErr w:type="spellStart"/>
            <w:r w:rsidRPr="005D569A">
              <w:rPr>
                <w:sz w:val="20"/>
                <w:szCs w:val="20"/>
              </w:rPr>
              <w:t>norādījis</w:t>
            </w:r>
            <w:proofErr w:type="spellEnd"/>
            <w:r w:rsidRPr="005D569A">
              <w:rPr>
                <w:sz w:val="20"/>
                <w:szCs w:val="20"/>
              </w:rPr>
              <w:t xml:space="preserve">, </w:t>
            </w:r>
            <w:proofErr w:type="spellStart"/>
            <w:r w:rsidRPr="005D569A">
              <w:rPr>
                <w:sz w:val="20"/>
                <w:szCs w:val="20"/>
              </w:rPr>
              <w:t>ka</w:t>
            </w:r>
            <w:proofErr w:type="spellEnd"/>
            <w:r w:rsidRPr="005D569A">
              <w:rPr>
                <w:sz w:val="20"/>
                <w:szCs w:val="20"/>
              </w:rPr>
              <w:t xml:space="preserve"> </w:t>
            </w:r>
            <w:proofErr w:type="spellStart"/>
            <w:r w:rsidRPr="005D569A">
              <w:rPr>
                <w:sz w:val="20"/>
                <w:szCs w:val="20"/>
              </w:rPr>
              <w:t>izpratni</w:t>
            </w:r>
            <w:proofErr w:type="spellEnd"/>
            <w:r w:rsidRPr="005D569A">
              <w:rPr>
                <w:sz w:val="20"/>
                <w:szCs w:val="20"/>
              </w:rPr>
              <w:t xml:space="preserve"> par </w:t>
            </w:r>
            <w:r w:rsidRPr="005D569A">
              <w:rPr>
                <w:noProof/>
                <w:sz w:val="20"/>
                <w:szCs w:val="20"/>
              </w:rPr>
              <w:t>pakalpojumu būtību</w:t>
            </w:r>
            <w:r w:rsidRPr="005D569A">
              <w:rPr>
                <w:sz w:val="20"/>
                <w:szCs w:val="20"/>
              </w:rPr>
              <w:t xml:space="preserve"> un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procesa</w:t>
            </w:r>
            <w:proofErr w:type="spellEnd"/>
            <w:r w:rsidRPr="005D569A">
              <w:rPr>
                <w:sz w:val="20"/>
                <w:szCs w:val="20"/>
              </w:rPr>
              <w:t xml:space="preserve"> </w:t>
            </w:r>
            <w:proofErr w:type="spellStart"/>
            <w:r w:rsidRPr="005D569A">
              <w:rPr>
                <w:sz w:val="20"/>
                <w:szCs w:val="20"/>
              </w:rPr>
              <w:t>organizāciju</w:t>
            </w:r>
            <w:proofErr w:type="spellEnd"/>
            <w:r w:rsidRPr="005D569A">
              <w:rPr>
                <w:sz w:val="20"/>
                <w:szCs w:val="20"/>
              </w:rPr>
              <w:t xml:space="preserve"> </w:t>
            </w:r>
            <w:proofErr w:type="spellStart"/>
            <w:r w:rsidRPr="005D569A">
              <w:rPr>
                <w:sz w:val="20"/>
                <w:szCs w:val="20"/>
              </w:rPr>
              <w:t>iegūs</w:t>
            </w:r>
            <w:proofErr w:type="spellEnd"/>
            <w:r w:rsidRPr="005D569A">
              <w:rPr>
                <w:sz w:val="20"/>
                <w:szCs w:val="20"/>
              </w:rPr>
              <w:t xml:space="preserve"> </w:t>
            </w:r>
            <w:proofErr w:type="spellStart"/>
            <w:r w:rsidRPr="005D569A">
              <w:rPr>
                <w:sz w:val="20"/>
                <w:szCs w:val="20"/>
              </w:rPr>
              <w:t>praksē</w:t>
            </w:r>
            <w:proofErr w:type="spellEnd"/>
            <w:r w:rsidRPr="005D569A">
              <w:rPr>
                <w:sz w:val="20"/>
                <w:szCs w:val="20"/>
              </w:rPr>
              <w:t xml:space="preserve">, </w:t>
            </w:r>
            <w:proofErr w:type="spellStart"/>
            <w:r w:rsidRPr="005D569A">
              <w:rPr>
                <w:sz w:val="20"/>
                <w:szCs w:val="20"/>
              </w:rPr>
              <w:t>veicot</w:t>
            </w:r>
            <w:proofErr w:type="spellEnd"/>
            <w:r w:rsidRPr="005D569A">
              <w:rPr>
                <w:sz w:val="20"/>
                <w:szCs w:val="20"/>
              </w:rPr>
              <w:t xml:space="preserve"> </w:t>
            </w:r>
            <w:proofErr w:type="spellStart"/>
            <w:r w:rsidRPr="005D569A">
              <w:rPr>
                <w:sz w:val="20"/>
                <w:szCs w:val="20"/>
              </w:rPr>
              <w:t>analīzi</w:t>
            </w:r>
            <w:proofErr w:type="spellEnd"/>
            <w:r w:rsidRPr="005D569A">
              <w:rPr>
                <w:sz w:val="20"/>
                <w:szCs w:val="20"/>
              </w:rPr>
              <w:t>.</w:t>
            </w:r>
          </w:p>
        </w:tc>
        <w:tc>
          <w:tcPr>
            <w:tcW w:w="688" w:type="pct"/>
            <w:tcBorders>
              <w:top w:val="single" w:sz="4" w:space="0" w:color="auto"/>
              <w:left w:val="single" w:sz="4" w:space="0" w:color="auto"/>
              <w:bottom w:val="single" w:sz="4" w:space="0" w:color="auto"/>
            </w:tcBorders>
            <w:vAlign w:val="center"/>
          </w:tcPr>
          <w:p w:rsidR="00143CAD" w:rsidRPr="005D569A" w:rsidRDefault="00143CAD" w:rsidP="00E97112">
            <w:pPr>
              <w:jc w:val="center"/>
              <w:rPr>
                <w:sz w:val="20"/>
                <w:szCs w:val="20"/>
              </w:rPr>
            </w:pPr>
            <w:r w:rsidRPr="005D569A">
              <w:rPr>
                <w:sz w:val="20"/>
                <w:szCs w:val="20"/>
              </w:rPr>
              <w:t>1</w:t>
            </w:r>
          </w:p>
        </w:tc>
        <w:tc>
          <w:tcPr>
            <w:tcW w:w="813" w:type="pct"/>
            <w:tcBorders>
              <w:top w:val="single" w:sz="4" w:space="0" w:color="auto"/>
              <w:left w:val="single" w:sz="4" w:space="0" w:color="auto"/>
              <w:bottom w:val="single" w:sz="4" w:space="0" w:color="auto"/>
            </w:tcBorders>
            <w:vAlign w:val="center"/>
          </w:tcPr>
          <w:p w:rsidR="00143CAD" w:rsidRPr="005D569A" w:rsidRDefault="00143CAD" w:rsidP="00E97112">
            <w:pPr>
              <w:ind w:right="-57"/>
              <w:jc w:val="center"/>
              <w:rPr>
                <w:sz w:val="20"/>
                <w:szCs w:val="20"/>
                <w:lang w:val="lv-LV"/>
              </w:rPr>
            </w:pPr>
            <w:r w:rsidRPr="005D569A">
              <w:rPr>
                <w:sz w:val="20"/>
                <w:szCs w:val="20"/>
                <w:lang w:val="lv-LV"/>
              </w:rPr>
              <w:t>-</w:t>
            </w:r>
          </w:p>
        </w:tc>
      </w:tr>
      <w:tr w:rsidR="00143CAD" w:rsidRPr="005D569A" w:rsidTr="00143CAD">
        <w:trPr>
          <w:trHeight w:val="270"/>
        </w:trPr>
        <w:tc>
          <w:tcPr>
            <w:tcW w:w="252" w:type="pct"/>
            <w:shd w:val="clear" w:color="auto" w:fill="auto"/>
          </w:tcPr>
          <w:p w:rsidR="00143CAD" w:rsidRPr="005D569A" w:rsidRDefault="00143CAD" w:rsidP="00E97112">
            <w:pPr>
              <w:ind w:right="-57"/>
              <w:jc w:val="both"/>
              <w:rPr>
                <w:sz w:val="20"/>
                <w:szCs w:val="20"/>
                <w:lang w:val="lv-LV"/>
              </w:rPr>
            </w:pPr>
          </w:p>
        </w:tc>
        <w:tc>
          <w:tcPr>
            <w:tcW w:w="1034" w:type="pct"/>
            <w:shd w:val="clear" w:color="auto" w:fill="auto"/>
          </w:tcPr>
          <w:p w:rsidR="00143CAD" w:rsidRPr="005D569A" w:rsidRDefault="00143CAD" w:rsidP="00E97112">
            <w:pPr>
              <w:ind w:right="-57"/>
              <w:jc w:val="both"/>
              <w:rPr>
                <w:noProof/>
                <w:sz w:val="20"/>
                <w:szCs w:val="20"/>
                <w:lang w:val="lv-LV" w:eastAsia="ar-SA"/>
              </w:rPr>
            </w:pPr>
          </w:p>
        </w:tc>
        <w:tc>
          <w:tcPr>
            <w:tcW w:w="2212" w:type="pct"/>
            <w:tcBorders>
              <w:bottom w:val="single" w:sz="4" w:space="0" w:color="auto"/>
              <w:right w:val="single" w:sz="4" w:space="0" w:color="auto"/>
            </w:tcBorders>
            <w:shd w:val="clear" w:color="auto" w:fill="auto"/>
          </w:tcPr>
          <w:p w:rsidR="00143CAD" w:rsidRPr="005D569A" w:rsidRDefault="00143CAD" w:rsidP="00E97112">
            <w:pPr>
              <w:ind w:right="-57"/>
              <w:jc w:val="both"/>
              <w:rPr>
                <w:sz w:val="20"/>
                <w:szCs w:val="20"/>
              </w:rPr>
            </w:pP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sniedzis</w:t>
            </w:r>
            <w:proofErr w:type="spellEnd"/>
            <w:r w:rsidRPr="005D569A">
              <w:rPr>
                <w:sz w:val="20"/>
                <w:szCs w:val="20"/>
              </w:rPr>
              <w:t xml:space="preserve"> </w:t>
            </w:r>
            <w:proofErr w:type="spellStart"/>
            <w:r w:rsidRPr="005D569A">
              <w:rPr>
                <w:sz w:val="20"/>
                <w:szCs w:val="20"/>
              </w:rPr>
              <w:t>detalizētu</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procesa</w:t>
            </w:r>
            <w:proofErr w:type="spellEnd"/>
            <w:r w:rsidRPr="005D569A">
              <w:rPr>
                <w:sz w:val="20"/>
                <w:szCs w:val="20"/>
              </w:rPr>
              <w:t xml:space="preserve"> </w:t>
            </w:r>
            <w:proofErr w:type="spellStart"/>
            <w:r w:rsidRPr="005D569A">
              <w:rPr>
                <w:sz w:val="20"/>
                <w:szCs w:val="20"/>
              </w:rPr>
              <w:t>organizācijas</w:t>
            </w:r>
            <w:proofErr w:type="spellEnd"/>
            <w:r w:rsidRPr="005D569A">
              <w:rPr>
                <w:sz w:val="20"/>
                <w:szCs w:val="20"/>
              </w:rPr>
              <w:t xml:space="preserve"> </w:t>
            </w:r>
            <w:proofErr w:type="spellStart"/>
            <w:r w:rsidRPr="005D569A">
              <w:rPr>
                <w:sz w:val="20"/>
                <w:szCs w:val="20"/>
              </w:rPr>
              <w:t>aprakstu</w:t>
            </w:r>
            <w:proofErr w:type="spellEnd"/>
            <w:r w:rsidRPr="005D569A">
              <w:rPr>
                <w:sz w:val="20"/>
                <w:szCs w:val="20"/>
              </w:rPr>
              <w:t xml:space="preserve"> </w:t>
            </w:r>
            <w:proofErr w:type="spellStart"/>
            <w:r w:rsidRPr="005D569A">
              <w:rPr>
                <w:sz w:val="20"/>
                <w:szCs w:val="20"/>
              </w:rPr>
              <w:t>revidējamās</w:t>
            </w:r>
            <w:proofErr w:type="spellEnd"/>
            <w:r w:rsidRPr="005D569A">
              <w:rPr>
                <w:sz w:val="20"/>
                <w:szCs w:val="20"/>
              </w:rPr>
              <w:t xml:space="preserve"> </w:t>
            </w:r>
            <w:proofErr w:type="spellStart"/>
            <w:r w:rsidRPr="005D569A">
              <w:rPr>
                <w:sz w:val="20"/>
                <w:szCs w:val="20"/>
              </w:rPr>
              <w:t>iestādēs</w:t>
            </w:r>
            <w:proofErr w:type="spellEnd"/>
            <w:r w:rsidRPr="005D569A">
              <w:rPr>
                <w:sz w:val="20"/>
                <w:szCs w:val="20"/>
              </w:rPr>
              <w:t xml:space="preserve"> atbilstoši </w:t>
            </w:r>
            <w:proofErr w:type="spellStart"/>
            <w:r w:rsidRPr="005D569A">
              <w:rPr>
                <w:sz w:val="20"/>
                <w:szCs w:val="20"/>
              </w:rPr>
              <w:t>Iepirkuma</w:t>
            </w:r>
            <w:proofErr w:type="spellEnd"/>
            <w:r w:rsidRPr="005D569A">
              <w:rPr>
                <w:sz w:val="20"/>
                <w:szCs w:val="20"/>
              </w:rPr>
              <w:t xml:space="preserve"> </w:t>
            </w:r>
            <w:proofErr w:type="spellStart"/>
            <w:r w:rsidRPr="005D569A">
              <w:rPr>
                <w:sz w:val="20"/>
                <w:szCs w:val="20"/>
              </w:rPr>
              <w:t>noteikumu</w:t>
            </w:r>
            <w:proofErr w:type="spellEnd"/>
            <w:r w:rsidRPr="005D569A">
              <w:rPr>
                <w:sz w:val="20"/>
                <w:szCs w:val="20"/>
              </w:rPr>
              <w:t xml:space="preserve"> 33.2. </w:t>
            </w:r>
            <w:proofErr w:type="spellStart"/>
            <w:proofErr w:type="gramStart"/>
            <w:r w:rsidRPr="005D569A">
              <w:rPr>
                <w:sz w:val="20"/>
                <w:szCs w:val="20"/>
              </w:rPr>
              <w:t>apakšpunkta</w:t>
            </w:r>
            <w:proofErr w:type="spellEnd"/>
            <w:proofErr w:type="gramEnd"/>
            <w:r w:rsidRPr="005D569A">
              <w:rPr>
                <w:sz w:val="20"/>
                <w:szCs w:val="20"/>
              </w:rPr>
              <w:t xml:space="preserve"> prasībām, </w:t>
            </w:r>
            <w:proofErr w:type="spellStart"/>
            <w:r w:rsidRPr="005D569A">
              <w:rPr>
                <w:sz w:val="20"/>
                <w:szCs w:val="20"/>
              </w:rPr>
              <w:t>kas</w:t>
            </w:r>
            <w:proofErr w:type="spellEnd"/>
            <w:r w:rsidRPr="005D569A">
              <w:rPr>
                <w:sz w:val="20"/>
                <w:szCs w:val="20"/>
              </w:rPr>
              <w:t xml:space="preserve"> </w:t>
            </w:r>
            <w:proofErr w:type="spellStart"/>
            <w:r w:rsidRPr="005D569A">
              <w:rPr>
                <w:sz w:val="20"/>
                <w:szCs w:val="20"/>
              </w:rPr>
              <w:t>pilnībā</w:t>
            </w:r>
            <w:proofErr w:type="spellEnd"/>
            <w:r w:rsidRPr="005D569A">
              <w:rPr>
                <w:sz w:val="20"/>
                <w:szCs w:val="20"/>
              </w:rPr>
              <w:t xml:space="preserve"> </w:t>
            </w:r>
            <w:proofErr w:type="spellStart"/>
            <w:r w:rsidRPr="005D569A">
              <w:rPr>
                <w:sz w:val="20"/>
                <w:szCs w:val="20"/>
              </w:rPr>
              <w:t>apliecina</w:t>
            </w:r>
            <w:proofErr w:type="spellEnd"/>
            <w:r w:rsidRPr="005D569A">
              <w:rPr>
                <w:sz w:val="20"/>
                <w:szCs w:val="20"/>
              </w:rPr>
              <w:t xml:space="preserve"> </w:t>
            </w:r>
            <w:proofErr w:type="spellStart"/>
            <w:r w:rsidRPr="005D569A">
              <w:rPr>
                <w:sz w:val="20"/>
                <w:szCs w:val="20"/>
              </w:rPr>
              <w:t>pretendenta</w:t>
            </w:r>
            <w:proofErr w:type="spellEnd"/>
            <w:r w:rsidRPr="005D569A">
              <w:rPr>
                <w:sz w:val="20"/>
                <w:szCs w:val="20"/>
              </w:rPr>
              <w:t xml:space="preserve"> </w:t>
            </w:r>
            <w:proofErr w:type="spellStart"/>
            <w:r w:rsidRPr="005D569A">
              <w:rPr>
                <w:sz w:val="20"/>
                <w:szCs w:val="20"/>
              </w:rPr>
              <w:t>tehniskā</w:t>
            </w:r>
            <w:proofErr w:type="spellEnd"/>
            <w:r w:rsidRPr="005D569A">
              <w:rPr>
                <w:sz w:val="20"/>
                <w:szCs w:val="20"/>
              </w:rPr>
              <w:t xml:space="preserve"> </w:t>
            </w:r>
            <w:proofErr w:type="spellStart"/>
            <w:r w:rsidRPr="005D569A">
              <w:rPr>
                <w:sz w:val="20"/>
                <w:szCs w:val="20"/>
              </w:rPr>
              <w:t>piedāvājuma</w:t>
            </w:r>
            <w:proofErr w:type="spellEnd"/>
            <w:r w:rsidRPr="005D569A">
              <w:rPr>
                <w:sz w:val="20"/>
                <w:szCs w:val="20"/>
              </w:rPr>
              <w:t xml:space="preserve"> </w:t>
            </w:r>
            <w:proofErr w:type="spellStart"/>
            <w:r w:rsidRPr="005D569A">
              <w:rPr>
                <w:sz w:val="20"/>
                <w:szCs w:val="20"/>
              </w:rPr>
              <w:t>atbilstību</w:t>
            </w:r>
            <w:proofErr w:type="spellEnd"/>
            <w:r w:rsidRPr="005D569A">
              <w:rPr>
                <w:sz w:val="20"/>
                <w:szCs w:val="20"/>
              </w:rPr>
              <w:t xml:space="preserve"> </w:t>
            </w:r>
            <w:proofErr w:type="spellStart"/>
            <w:r w:rsidRPr="005D569A">
              <w:rPr>
                <w:sz w:val="20"/>
                <w:szCs w:val="20"/>
              </w:rPr>
              <w:t>izvirzītajām</w:t>
            </w:r>
            <w:proofErr w:type="spellEnd"/>
            <w:r w:rsidRPr="005D569A">
              <w:rPr>
                <w:sz w:val="20"/>
                <w:szCs w:val="20"/>
              </w:rPr>
              <w:t xml:space="preserve"> prasībām. </w:t>
            </w:r>
            <w:proofErr w:type="spellStart"/>
            <w:r w:rsidRPr="005D569A">
              <w:rPr>
                <w:sz w:val="20"/>
                <w:szCs w:val="20"/>
              </w:rPr>
              <w:t>Teicama</w:t>
            </w:r>
            <w:proofErr w:type="spellEnd"/>
            <w:r w:rsidRPr="005D569A">
              <w:rPr>
                <w:sz w:val="20"/>
                <w:szCs w:val="20"/>
              </w:rPr>
              <w:t xml:space="preserve"> </w:t>
            </w:r>
            <w:proofErr w:type="spellStart"/>
            <w:r w:rsidRPr="005D569A">
              <w:rPr>
                <w:sz w:val="20"/>
                <w:szCs w:val="20"/>
              </w:rPr>
              <w:t>izpratne</w:t>
            </w:r>
            <w:proofErr w:type="spellEnd"/>
            <w:r w:rsidRPr="005D569A">
              <w:rPr>
                <w:sz w:val="20"/>
                <w:szCs w:val="20"/>
              </w:rPr>
              <w:t xml:space="preserve"> par </w:t>
            </w:r>
            <w:proofErr w:type="spellStart"/>
            <w:r w:rsidRPr="005D569A">
              <w:rPr>
                <w:sz w:val="20"/>
                <w:szCs w:val="20"/>
              </w:rPr>
              <w:t>pašvaldības</w:t>
            </w:r>
            <w:proofErr w:type="spellEnd"/>
            <w:r w:rsidRPr="005D569A">
              <w:rPr>
                <w:sz w:val="20"/>
                <w:szCs w:val="20"/>
              </w:rPr>
              <w:t xml:space="preserve"> </w:t>
            </w:r>
            <w:proofErr w:type="spellStart"/>
            <w:r w:rsidRPr="005D569A">
              <w:rPr>
                <w:sz w:val="20"/>
                <w:szCs w:val="20"/>
              </w:rPr>
              <w:t>uzskaites</w:t>
            </w:r>
            <w:proofErr w:type="spellEnd"/>
            <w:r w:rsidRPr="005D569A">
              <w:rPr>
                <w:sz w:val="20"/>
                <w:szCs w:val="20"/>
              </w:rPr>
              <w:t xml:space="preserve"> </w:t>
            </w:r>
            <w:proofErr w:type="spellStart"/>
            <w:r w:rsidRPr="005D569A">
              <w:rPr>
                <w:sz w:val="20"/>
                <w:szCs w:val="20"/>
              </w:rPr>
              <w:t>specifiku</w:t>
            </w:r>
            <w:proofErr w:type="spellEnd"/>
            <w:r w:rsidRPr="005D569A">
              <w:rPr>
                <w:sz w:val="20"/>
                <w:szCs w:val="20"/>
              </w:rPr>
              <w:t xml:space="preserve"> un </w:t>
            </w:r>
            <w:proofErr w:type="spellStart"/>
            <w:r w:rsidRPr="005D569A">
              <w:rPr>
                <w:sz w:val="20"/>
                <w:szCs w:val="20"/>
              </w:rPr>
              <w:t>būtiskākajiem</w:t>
            </w:r>
            <w:proofErr w:type="spellEnd"/>
            <w:r w:rsidRPr="005D569A">
              <w:rPr>
                <w:sz w:val="20"/>
                <w:szCs w:val="20"/>
              </w:rPr>
              <w:t xml:space="preserve"> </w:t>
            </w:r>
            <w:proofErr w:type="spellStart"/>
            <w:r w:rsidRPr="005D569A">
              <w:rPr>
                <w:sz w:val="20"/>
                <w:szCs w:val="20"/>
              </w:rPr>
              <w:t>jautājumiem</w:t>
            </w:r>
            <w:proofErr w:type="spellEnd"/>
            <w:r w:rsidRPr="005D569A">
              <w:rPr>
                <w:sz w:val="20"/>
                <w:szCs w:val="20"/>
              </w:rPr>
              <w:t xml:space="preserve">, </w:t>
            </w:r>
            <w:proofErr w:type="spellStart"/>
            <w:r w:rsidRPr="005D569A">
              <w:rPr>
                <w:sz w:val="20"/>
                <w:szCs w:val="20"/>
              </w:rPr>
              <w:t>kuri</w:t>
            </w:r>
            <w:proofErr w:type="spellEnd"/>
            <w:r w:rsidRPr="005D569A">
              <w:rPr>
                <w:sz w:val="20"/>
                <w:szCs w:val="20"/>
              </w:rPr>
              <w:t xml:space="preserve"> </w:t>
            </w:r>
            <w:proofErr w:type="spellStart"/>
            <w:r w:rsidRPr="005D569A">
              <w:rPr>
                <w:sz w:val="20"/>
                <w:szCs w:val="20"/>
              </w:rPr>
              <w:t>risināmi</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ietvaros</w:t>
            </w:r>
            <w:proofErr w:type="spellEnd"/>
          </w:p>
        </w:tc>
        <w:tc>
          <w:tcPr>
            <w:tcW w:w="688" w:type="pct"/>
            <w:tcBorders>
              <w:top w:val="single" w:sz="4" w:space="0" w:color="auto"/>
              <w:left w:val="single" w:sz="4" w:space="0" w:color="auto"/>
              <w:bottom w:val="single" w:sz="4" w:space="0" w:color="auto"/>
            </w:tcBorders>
            <w:vAlign w:val="center"/>
          </w:tcPr>
          <w:p w:rsidR="00143CAD" w:rsidRPr="005D569A" w:rsidRDefault="00143CAD" w:rsidP="00E97112">
            <w:pPr>
              <w:jc w:val="center"/>
              <w:rPr>
                <w:sz w:val="20"/>
                <w:szCs w:val="20"/>
              </w:rPr>
            </w:pPr>
            <w:r w:rsidRPr="005D569A">
              <w:rPr>
                <w:sz w:val="20"/>
                <w:szCs w:val="20"/>
              </w:rPr>
              <w:t>0</w:t>
            </w:r>
          </w:p>
        </w:tc>
        <w:tc>
          <w:tcPr>
            <w:tcW w:w="813" w:type="pct"/>
            <w:tcBorders>
              <w:top w:val="single" w:sz="4" w:space="0" w:color="auto"/>
              <w:left w:val="single" w:sz="4" w:space="0" w:color="auto"/>
              <w:bottom w:val="single" w:sz="4" w:space="0" w:color="auto"/>
            </w:tcBorders>
            <w:vAlign w:val="center"/>
          </w:tcPr>
          <w:p w:rsidR="00143CAD" w:rsidRPr="005D569A" w:rsidRDefault="00143CAD" w:rsidP="00E97112">
            <w:pPr>
              <w:ind w:right="-57"/>
              <w:jc w:val="center"/>
              <w:rPr>
                <w:sz w:val="20"/>
                <w:szCs w:val="20"/>
                <w:lang w:val="lv-LV"/>
              </w:rPr>
            </w:pPr>
            <w:r w:rsidRPr="005D569A">
              <w:rPr>
                <w:sz w:val="20"/>
                <w:szCs w:val="20"/>
                <w:lang w:val="lv-LV"/>
              </w:rPr>
              <w:t>-</w:t>
            </w:r>
          </w:p>
        </w:tc>
      </w:tr>
      <w:tr w:rsidR="00143CAD" w:rsidRPr="005D569A" w:rsidTr="00143CAD">
        <w:trPr>
          <w:trHeight w:val="1139"/>
        </w:trPr>
        <w:tc>
          <w:tcPr>
            <w:tcW w:w="252" w:type="pct"/>
            <w:vMerge w:val="restart"/>
            <w:shd w:val="clear" w:color="auto" w:fill="auto"/>
          </w:tcPr>
          <w:p w:rsidR="00143CAD" w:rsidRPr="005D569A" w:rsidRDefault="00143CAD" w:rsidP="00E97112">
            <w:pPr>
              <w:ind w:right="-57"/>
              <w:jc w:val="both"/>
              <w:rPr>
                <w:sz w:val="20"/>
                <w:szCs w:val="20"/>
                <w:lang w:val="lv-LV"/>
              </w:rPr>
            </w:pPr>
            <w:r w:rsidRPr="005D569A">
              <w:rPr>
                <w:sz w:val="20"/>
                <w:szCs w:val="20"/>
                <w:lang w:val="lv-LV"/>
              </w:rPr>
              <w:t>B2</w:t>
            </w:r>
          </w:p>
        </w:tc>
        <w:tc>
          <w:tcPr>
            <w:tcW w:w="1034" w:type="pct"/>
            <w:vMerge w:val="restart"/>
            <w:shd w:val="clear" w:color="auto" w:fill="auto"/>
          </w:tcPr>
          <w:p w:rsidR="00143CAD" w:rsidRPr="005D569A" w:rsidRDefault="00143CAD" w:rsidP="00E97112">
            <w:pPr>
              <w:ind w:right="-57"/>
              <w:rPr>
                <w:sz w:val="20"/>
                <w:szCs w:val="20"/>
                <w:lang w:val="lv-LV"/>
              </w:rPr>
            </w:pPr>
            <w:r w:rsidRPr="005D569A">
              <w:rPr>
                <w:sz w:val="20"/>
                <w:szCs w:val="20"/>
                <w:lang w:val="lv-LV" w:eastAsia="ar-SA"/>
              </w:rPr>
              <w:t>Pielietotā revīzijas metodoloģija</w:t>
            </w:r>
            <w:r w:rsidRPr="005D569A">
              <w:rPr>
                <w:noProof/>
                <w:sz w:val="20"/>
                <w:szCs w:val="20"/>
                <w:lang w:val="lv-LV"/>
              </w:rPr>
              <w:t xml:space="preserve"> </w:t>
            </w:r>
          </w:p>
        </w:tc>
        <w:tc>
          <w:tcPr>
            <w:tcW w:w="2212" w:type="pct"/>
            <w:tcBorders>
              <w:top w:val="single" w:sz="4" w:space="0" w:color="auto"/>
              <w:bottom w:val="single" w:sz="4" w:space="0" w:color="auto"/>
              <w:right w:val="single" w:sz="4" w:space="0" w:color="auto"/>
            </w:tcBorders>
            <w:shd w:val="clear" w:color="auto" w:fill="auto"/>
          </w:tcPr>
          <w:p w:rsidR="00143CAD" w:rsidRPr="005D569A" w:rsidRDefault="00143CAD" w:rsidP="00E97112">
            <w:pPr>
              <w:ind w:right="-57"/>
              <w:jc w:val="both"/>
              <w:rPr>
                <w:sz w:val="20"/>
                <w:szCs w:val="20"/>
              </w:rPr>
            </w:pPr>
            <w:r w:rsidRPr="005D569A">
              <w:rPr>
                <w:sz w:val="20"/>
                <w:szCs w:val="20"/>
              </w:rPr>
              <w:t xml:space="preserve">Pretendenta </w:t>
            </w:r>
            <w:proofErr w:type="spellStart"/>
            <w:r w:rsidRPr="005D569A">
              <w:rPr>
                <w:sz w:val="20"/>
                <w:szCs w:val="20"/>
              </w:rPr>
              <w:t>piedāvātā</w:t>
            </w:r>
            <w:proofErr w:type="spellEnd"/>
            <w:r w:rsidRPr="005D569A">
              <w:rPr>
                <w:sz w:val="20"/>
                <w:szCs w:val="20"/>
              </w:rPr>
              <w:t xml:space="preserve"> </w:t>
            </w:r>
            <w:proofErr w:type="spellStart"/>
            <w:r w:rsidRPr="005D569A">
              <w:rPr>
                <w:sz w:val="20"/>
                <w:szCs w:val="20"/>
              </w:rPr>
              <w:t>pakalpojuma</w:t>
            </w:r>
            <w:proofErr w:type="spellEnd"/>
            <w:r w:rsidRPr="005D569A">
              <w:rPr>
                <w:sz w:val="20"/>
                <w:szCs w:val="20"/>
              </w:rPr>
              <w:t xml:space="preserve"> </w:t>
            </w:r>
            <w:proofErr w:type="spellStart"/>
            <w:r w:rsidRPr="005D569A">
              <w:rPr>
                <w:sz w:val="20"/>
                <w:szCs w:val="20"/>
              </w:rPr>
              <w:t>izpildes</w:t>
            </w:r>
            <w:proofErr w:type="spellEnd"/>
            <w:r w:rsidRPr="005D569A">
              <w:rPr>
                <w:sz w:val="20"/>
                <w:szCs w:val="20"/>
              </w:rPr>
              <w:t xml:space="preserve"> </w:t>
            </w:r>
            <w:proofErr w:type="spellStart"/>
            <w:r w:rsidRPr="005D569A">
              <w:rPr>
                <w:sz w:val="20"/>
                <w:szCs w:val="20"/>
              </w:rPr>
              <w:t>metodoloģija</w:t>
            </w:r>
            <w:proofErr w:type="spellEnd"/>
            <w:r w:rsidRPr="005D569A">
              <w:rPr>
                <w:sz w:val="20"/>
                <w:szCs w:val="20"/>
              </w:rPr>
              <w:t xml:space="preserve"> ir </w:t>
            </w:r>
            <w:proofErr w:type="spellStart"/>
            <w:r w:rsidRPr="005D569A">
              <w:rPr>
                <w:sz w:val="20"/>
                <w:szCs w:val="20"/>
              </w:rPr>
              <w:t>skaidrā</w:t>
            </w:r>
            <w:proofErr w:type="spellEnd"/>
            <w:r w:rsidRPr="005D569A">
              <w:rPr>
                <w:sz w:val="20"/>
                <w:szCs w:val="20"/>
              </w:rPr>
              <w:t xml:space="preserve">, </w:t>
            </w:r>
            <w:proofErr w:type="spellStart"/>
            <w:r w:rsidRPr="005D569A">
              <w:rPr>
                <w:sz w:val="20"/>
                <w:szCs w:val="20"/>
              </w:rPr>
              <w:t>samērīga</w:t>
            </w:r>
            <w:proofErr w:type="spellEnd"/>
            <w:r w:rsidRPr="005D569A">
              <w:rPr>
                <w:sz w:val="20"/>
                <w:szCs w:val="20"/>
              </w:rPr>
              <w:t xml:space="preserve"> un </w:t>
            </w:r>
            <w:proofErr w:type="spellStart"/>
            <w:r w:rsidRPr="005D569A">
              <w:rPr>
                <w:sz w:val="20"/>
                <w:szCs w:val="20"/>
              </w:rPr>
              <w:t>ietver</w:t>
            </w:r>
            <w:proofErr w:type="spellEnd"/>
            <w:r w:rsidRPr="005D569A">
              <w:rPr>
                <w:sz w:val="20"/>
                <w:szCs w:val="20"/>
              </w:rPr>
              <w:t xml:space="preserve"> </w:t>
            </w:r>
            <w:proofErr w:type="spellStart"/>
            <w:r w:rsidRPr="005D569A">
              <w:rPr>
                <w:sz w:val="20"/>
                <w:szCs w:val="20"/>
              </w:rPr>
              <w:t>informāciju</w:t>
            </w:r>
            <w:proofErr w:type="spellEnd"/>
            <w:r w:rsidRPr="005D569A">
              <w:rPr>
                <w:sz w:val="20"/>
                <w:szCs w:val="20"/>
              </w:rPr>
              <w:t xml:space="preserve"> par </w:t>
            </w:r>
            <w:proofErr w:type="spellStart"/>
            <w:r w:rsidRPr="005D569A">
              <w:rPr>
                <w:sz w:val="20"/>
                <w:szCs w:val="20"/>
              </w:rPr>
              <w:t>visiem</w:t>
            </w:r>
            <w:proofErr w:type="spellEnd"/>
            <w:r w:rsidRPr="005D569A">
              <w:rPr>
                <w:sz w:val="20"/>
                <w:szCs w:val="20"/>
              </w:rPr>
              <w:t xml:space="preserve"> </w:t>
            </w:r>
            <w:proofErr w:type="spellStart"/>
            <w:r w:rsidRPr="005D569A">
              <w:rPr>
                <w:sz w:val="20"/>
                <w:szCs w:val="20"/>
              </w:rPr>
              <w:t>pakalpojuma</w:t>
            </w:r>
            <w:proofErr w:type="spellEnd"/>
            <w:r w:rsidRPr="005D569A">
              <w:rPr>
                <w:sz w:val="20"/>
                <w:szCs w:val="20"/>
              </w:rPr>
              <w:t xml:space="preserve"> </w:t>
            </w:r>
            <w:proofErr w:type="spellStart"/>
            <w:r w:rsidRPr="005D569A">
              <w:rPr>
                <w:sz w:val="20"/>
                <w:szCs w:val="20"/>
              </w:rPr>
              <w:t>nodrošināšanas</w:t>
            </w:r>
            <w:proofErr w:type="spellEnd"/>
            <w:r w:rsidRPr="005D569A">
              <w:rPr>
                <w:sz w:val="20"/>
                <w:szCs w:val="20"/>
              </w:rPr>
              <w:t xml:space="preserve"> </w:t>
            </w:r>
            <w:proofErr w:type="spellStart"/>
            <w:r w:rsidRPr="005D569A">
              <w:rPr>
                <w:sz w:val="20"/>
                <w:szCs w:val="20"/>
              </w:rPr>
              <w:t>procesiem</w:t>
            </w:r>
            <w:proofErr w:type="spellEnd"/>
            <w:r w:rsidRPr="005D569A">
              <w:rPr>
                <w:sz w:val="20"/>
                <w:szCs w:val="20"/>
              </w:rPr>
              <w:t xml:space="preserve"> un </w:t>
            </w:r>
            <w:proofErr w:type="spellStart"/>
            <w:r w:rsidRPr="005D569A">
              <w:rPr>
                <w:sz w:val="20"/>
                <w:szCs w:val="20"/>
              </w:rPr>
              <w:t>procedūrām</w:t>
            </w:r>
            <w:proofErr w:type="spellEnd"/>
            <w:r w:rsidRPr="005D569A">
              <w:rPr>
                <w:sz w:val="20"/>
                <w:szCs w:val="20"/>
              </w:rPr>
              <w:t xml:space="preserve"> atbilstoši </w:t>
            </w:r>
            <w:proofErr w:type="spellStart"/>
            <w:r w:rsidRPr="005D569A">
              <w:rPr>
                <w:sz w:val="20"/>
                <w:szCs w:val="20"/>
              </w:rPr>
              <w:t>Iepirkuma</w:t>
            </w:r>
            <w:proofErr w:type="spellEnd"/>
            <w:r w:rsidRPr="005D569A">
              <w:rPr>
                <w:sz w:val="20"/>
                <w:szCs w:val="20"/>
              </w:rPr>
              <w:t xml:space="preserve"> </w:t>
            </w:r>
            <w:proofErr w:type="spellStart"/>
            <w:r w:rsidRPr="005D569A">
              <w:rPr>
                <w:sz w:val="20"/>
                <w:szCs w:val="20"/>
              </w:rPr>
              <w:t>noteikumu</w:t>
            </w:r>
            <w:proofErr w:type="spellEnd"/>
            <w:r w:rsidRPr="005D569A">
              <w:rPr>
                <w:sz w:val="20"/>
                <w:szCs w:val="20"/>
              </w:rPr>
              <w:t xml:space="preserve"> 33.3. </w:t>
            </w:r>
            <w:proofErr w:type="spellStart"/>
            <w:r w:rsidRPr="005D569A">
              <w:rPr>
                <w:sz w:val="20"/>
                <w:szCs w:val="20"/>
              </w:rPr>
              <w:t>apakšpunktam</w:t>
            </w:r>
            <w:proofErr w:type="spellEnd"/>
          </w:p>
        </w:tc>
        <w:tc>
          <w:tcPr>
            <w:tcW w:w="688" w:type="pct"/>
            <w:tcBorders>
              <w:top w:val="single" w:sz="4" w:space="0" w:color="auto"/>
              <w:left w:val="single" w:sz="4" w:space="0" w:color="auto"/>
              <w:bottom w:val="single" w:sz="4" w:space="0" w:color="auto"/>
            </w:tcBorders>
            <w:shd w:val="clear" w:color="auto" w:fill="auto"/>
            <w:vAlign w:val="center"/>
          </w:tcPr>
          <w:p w:rsidR="00143CAD" w:rsidRPr="005D569A" w:rsidRDefault="00143CAD" w:rsidP="00E97112">
            <w:pPr>
              <w:ind w:right="-57"/>
              <w:jc w:val="center"/>
              <w:rPr>
                <w:sz w:val="20"/>
                <w:szCs w:val="20"/>
              </w:rPr>
            </w:pPr>
            <w:r w:rsidRPr="005D569A">
              <w:rPr>
                <w:sz w:val="20"/>
                <w:szCs w:val="20"/>
              </w:rPr>
              <w:t>12</w:t>
            </w:r>
          </w:p>
        </w:tc>
        <w:tc>
          <w:tcPr>
            <w:tcW w:w="813" w:type="pct"/>
            <w:tcBorders>
              <w:top w:val="single" w:sz="4" w:space="0" w:color="auto"/>
              <w:left w:val="single" w:sz="4" w:space="0" w:color="auto"/>
              <w:bottom w:val="single" w:sz="4" w:space="0" w:color="auto"/>
            </w:tcBorders>
            <w:vAlign w:val="center"/>
          </w:tcPr>
          <w:p w:rsidR="00143CAD" w:rsidRPr="005D569A" w:rsidRDefault="00143CAD" w:rsidP="00E97112">
            <w:pPr>
              <w:ind w:right="-57"/>
              <w:jc w:val="center"/>
              <w:rPr>
                <w:sz w:val="20"/>
                <w:szCs w:val="20"/>
                <w:lang w:val="lv-LV"/>
              </w:rPr>
            </w:pPr>
            <w:r w:rsidRPr="005D569A">
              <w:rPr>
                <w:sz w:val="20"/>
                <w:szCs w:val="20"/>
                <w:lang w:val="lv-LV"/>
              </w:rPr>
              <w:t>12</w:t>
            </w:r>
          </w:p>
        </w:tc>
      </w:tr>
      <w:tr w:rsidR="00143CAD" w:rsidRPr="005D569A" w:rsidTr="00143CAD">
        <w:trPr>
          <w:trHeight w:val="387"/>
        </w:trPr>
        <w:tc>
          <w:tcPr>
            <w:tcW w:w="252" w:type="pct"/>
            <w:vMerge/>
            <w:shd w:val="clear" w:color="auto" w:fill="auto"/>
          </w:tcPr>
          <w:p w:rsidR="00143CAD" w:rsidRPr="005D569A" w:rsidRDefault="00143CAD" w:rsidP="00E97112">
            <w:pPr>
              <w:ind w:right="-57"/>
              <w:jc w:val="both"/>
              <w:rPr>
                <w:sz w:val="20"/>
                <w:szCs w:val="20"/>
                <w:lang w:val="lv-LV"/>
              </w:rPr>
            </w:pPr>
          </w:p>
        </w:tc>
        <w:tc>
          <w:tcPr>
            <w:tcW w:w="1034" w:type="pct"/>
            <w:vMerge/>
            <w:shd w:val="clear" w:color="auto" w:fill="auto"/>
          </w:tcPr>
          <w:p w:rsidR="00143CAD" w:rsidRPr="005D569A" w:rsidRDefault="00143CAD" w:rsidP="00E97112">
            <w:pPr>
              <w:widowControl w:val="0"/>
              <w:tabs>
                <w:tab w:val="left" w:pos="-850"/>
              </w:tabs>
              <w:autoSpaceDE w:val="0"/>
              <w:autoSpaceDN w:val="0"/>
              <w:adjustRightInd w:val="0"/>
              <w:ind w:right="-23"/>
              <w:jc w:val="both"/>
              <w:rPr>
                <w:sz w:val="20"/>
                <w:szCs w:val="20"/>
                <w:lang w:val="lv-LV" w:eastAsia="ar-SA"/>
              </w:rPr>
            </w:pPr>
          </w:p>
        </w:tc>
        <w:tc>
          <w:tcPr>
            <w:tcW w:w="2212" w:type="pct"/>
            <w:tcBorders>
              <w:top w:val="single" w:sz="4" w:space="0" w:color="auto"/>
              <w:bottom w:val="single" w:sz="4" w:space="0" w:color="auto"/>
              <w:right w:val="single" w:sz="4" w:space="0" w:color="auto"/>
            </w:tcBorders>
            <w:shd w:val="clear" w:color="auto" w:fill="auto"/>
          </w:tcPr>
          <w:p w:rsidR="00143CAD" w:rsidRPr="005D569A" w:rsidRDefault="00143CAD" w:rsidP="00E97112">
            <w:pPr>
              <w:ind w:right="-57"/>
              <w:jc w:val="both"/>
              <w:rPr>
                <w:sz w:val="20"/>
                <w:szCs w:val="20"/>
              </w:rPr>
            </w:pPr>
            <w:r w:rsidRPr="005D569A">
              <w:rPr>
                <w:sz w:val="20"/>
                <w:szCs w:val="20"/>
              </w:rPr>
              <w:t xml:space="preserve">Pretendenta </w:t>
            </w:r>
            <w:proofErr w:type="spellStart"/>
            <w:r w:rsidRPr="005D569A">
              <w:rPr>
                <w:sz w:val="20"/>
                <w:szCs w:val="20"/>
              </w:rPr>
              <w:t>piedāvātā</w:t>
            </w:r>
            <w:proofErr w:type="spellEnd"/>
            <w:r w:rsidRPr="005D569A">
              <w:rPr>
                <w:sz w:val="20"/>
                <w:szCs w:val="20"/>
              </w:rPr>
              <w:t xml:space="preserve"> </w:t>
            </w:r>
            <w:proofErr w:type="spellStart"/>
            <w:r w:rsidRPr="005D569A">
              <w:rPr>
                <w:sz w:val="20"/>
                <w:szCs w:val="20"/>
              </w:rPr>
              <w:t>pakalpojuma</w:t>
            </w:r>
            <w:proofErr w:type="spellEnd"/>
            <w:r w:rsidRPr="005D569A">
              <w:rPr>
                <w:sz w:val="20"/>
                <w:szCs w:val="20"/>
              </w:rPr>
              <w:t xml:space="preserve"> </w:t>
            </w:r>
            <w:proofErr w:type="spellStart"/>
            <w:r w:rsidRPr="005D569A">
              <w:rPr>
                <w:sz w:val="20"/>
                <w:szCs w:val="20"/>
              </w:rPr>
              <w:t>izpildes</w:t>
            </w:r>
            <w:proofErr w:type="spellEnd"/>
            <w:r w:rsidRPr="005D569A">
              <w:rPr>
                <w:sz w:val="20"/>
                <w:szCs w:val="20"/>
              </w:rPr>
              <w:t xml:space="preserve"> </w:t>
            </w:r>
            <w:proofErr w:type="spellStart"/>
            <w:r w:rsidRPr="005D569A">
              <w:rPr>
                <w:sz w:val="20"/>
                <w:szCs w:val="20"/>
              </w:rPr>
              <w:t>metodoloģija</w:t>
            </w:r>
            <w:proofErr w:type="spellEnd"/>
            <w:r w:rsidRPr="005D569A">
              <w:rPr>
                <w:sz w:val="20"/>
                <w:szCs w:val="20"/>
              </w:rPr>
              <w:t xml:space="preserve"> ir </w:t>
            </w:r>
            <w:proofErr w:type="spellStart"/>
            <w:r w:rsidRPr="005D569A">
              <w:rPr>
                <w:sz w:val="20"/>
                <w:szCs w:val="20"/>
              </w:rPr>
              <w:t>neskaidri</w:t>
            </w:r>
            <w:proofErr w:type="spellEnd"/>
            <w:r w:rsidRPr="005D569A">
              <w:rPr>
                <w:sz w:val="20"/>
                <w:szCs w:val="20"/>
              </w:rPr>
              <w:t xml:space="preserve"> </w:t>
            </w:r>
            <w:proofErr w:type="spellStart"/>
            <w:r w:rsidRPr="005D569A">
              <w:rPr>
                <w:sz w:val="20"/>
                <w:szCs w:val="20"/>
              </w:rPr>
              <w:t>aprakstīta</w:t>
            </w:r>
            <w:proofErr w:type="spellEnd"/>
            <w:r w:rsidRPr="005D569A">
              <w:rPr>
                <w:sz w:val="20"/>
                <w:szCs w:val="20"/>
              </w:rPr>
              <w:t xml:space="preserve">. </w:t>
            </w:r>
            <w:proofErr w:type="spellStart"/>
            <w:proofErr w:type="gramStart"/>
            <w:r w:rsidRPr="005D569A">
              <w:rPr>
                <w:sz w:val="20"/>
                <w:szCs w:val="20"/>
              </w:rPr>
              <w:t>Tā</w:t>
            </w:r>
            <w:proofErr w:type="spellEnd"/>
            <w:proofErr w:type="gramEnd"/>
            <w:r w:rsidRPr="005D569A">
              <w:rPr>
                <w:sz w:val="20"/>
                <w:szCs w:val="20"/>
              </w:rPr>
              <w:t xml:space="preserve"> </w:t>
            </w:r>
            <w:proofErr w:type="spellStart"/>
            <w:r w:rsidRPr="005D569A">
              <w:rPr>
                <w:sz w:val="20"/>
                <w:szCs w:val="20"/>
              </w:rPr>
              <w:t>tikai</w:t>
            </w:r>
            <w:proofErr w:type="spellEnd"/>
            <w:r w:rsidRPr="005D569A">
              <w:rPr>
                <w:sz w:val="20"/>
                <w:szCs w:val="20"/>
              </w:rPr>
              <w:t xml:space="preserve"> </w:t>
            </w:r>
            <w:proofErr w:type="spellStart"/>
            <w:r w:rsidRPr="005D569A">
              <w:rPr>
                <w:sz w:val="20"/>
                <w:szCs w:val="20"/>
              </w:rPr>
              <w:t>daļēji</w:t>
            </w:r>
            <w:proofErr w:type="spellEnd"/>
            <w:r w:rsidRPr="005D569A">
              <w:rPr>
                <w:sz w:val="20"/>
                <w:szCs w:val="20"/>
              </w:rPr>
              <w:t xml:space="preserve"> </w:t>
            </w:r>
            <w:proofErr w:type="spellStart"/>
            <w:r w:rsidRPr="005D569A">
              <w:rPr>
                <w:sz w:val="20"/>
                <w:szCs w:val="20"/>
              </w:rPr>
              <w:t>sniedz</w:t>
            </w:r>
            <w:proofErr w:type="spellEnd"/>
            <w:r w:rsidRPr="005D569A">
              <w:rPr>
                <w:sz w:val="20"/>
                <w:szCs w:val="20"/>
              </w:rPr>
              <w:t xml:space="preserve"> </w:t>
            </w:r>
            <w:proofErr w:type="spellStart"/>
            <w:r w:rsidRPr="005D569A">
              <w:rPr>
                <w:sz w:val="20"/>
                <w:szCs w:val="20"/>
              </w:rPr>
              <w:t>informāciju</w:t>
            </w:r>
            <w:proofErr w:type="spellEnd"/>
            <w:r w:rsidRPr="005D569A">
              <w:rPr>
                <w:sz w:val="20"/>
                <w:szCs w:val="20"/>
              </w:rPr>
              <w:t xml:space="preserve"> par </w:t>
            </w:r>
            <w:proofErr w:type="spellStart"/>
            <w:r w:rsidRPr="005D569A">
              <w:rPr>
                <w:sz w:val="20"/>
                <w:szCs w:val="20"/>
              </w:rPr>
              <w:t>visiem</w:t>
            </w:r>
            <w:proofErr w:type="spellEnd"/>
            <w:r w:rsidRPr="005D569A">
              <w:rPr>
                <w:sz w:val="20"/>
                <w:szCs w:val="20"/>
              </w:rPr>
              <w:t xml:space="preserve"> </w:t>
            </w:r>
            <w:proofErr w:type="spellStart"/>
            <w:r w:rsidRPr="005D569A">
              <w:rPr>
                <w:sz w:val="20"/>
                <w:szCs w:val="20"/>
              </w:rPr>
              <w:t>pakalpojuma</w:t>
            </w:r>
            <w:proofErr w:type="spellEnd"/>
            <w:r w:rsidRPr="005D569A">
              <w:rPr>
                <w:sz w:val="20"/>
                <w:szCs w:val="20"/>
              </w:rPr>
              <w:t xml:space="preserve"> </w:t>
            </w:r>
            <w:proofErr w:type="spellStart"/>
            <w:r w:rsidRPr="005D569A">
              <w:rPr>
                <w:sz w:val="20"/>
                <w:szCs w:val="20"/>
              </w:rPr>
              <w:t>nodrošināšanas</w:t>
            </w:r>
            <w:proofErr w:type="spellEnd"/>
            <w:r w:rsidRPr="005D569A">
              <w:rPr>
                <w:sz w:val="20"/>
                <w:szCs w:val="20"/>
              </w:rPr>
              <w:t xml:space="preserve"> </w:t>
            </w:r>
            <w:proofErr w:type="spellStart"/>
            <w:r w:rsidRPr="005D569A">
              <w:rPr>
                <w:sz w:val="20"/>
                <w:szCs w:val="20"/>
              </w:rPr>
              <w:t>procesiem</w:t>
            </w:r>
            <w:proofErr w:type="spellEnd"/>
            <w:r w:rsidRPr="005D569A">
              <w:rPr>
                <w:sz w:val="20"/>
                <w:szCs w:val="20"/>
              </w:rPr>
              <w:t xml:space="preserve"> un </w:t>
            </w:r>
            <w:proofErr w:type="spellStart"/>
            <w:r w:rsidRPr="005D569A">
              <w:rPr>
                <w:sz w:val="20"/>
                <w:szCs w:val="20"/>
              </w:rPr>
              <w:t>procedūrām</w:t>
            </w:r>
            <w:proofErr w:type="spellEnd"/>
            <w:r w:rsidRPr="005D569A">
              <w:rPr>
                <w:sz w:val="20"/>
                <w:szCs w:val="20"/>
              </w:rPr>
              <w:t xml:space="preserve"> atbilstoši </w:t>
            </w:r>
            <w:proofErr w:type="spellStart"/>
            <w:r w:rsidRPr="005D569A">
              <w:rPr>
                <w:sz w:val="20"/>
                <w:szCs w:val="20"/>
              </w:rPr>
              <w:t>Iepirkuma</w:t>
            </w:r>
            <w:proofErr w:type="spellEnd"/>
            <w:r w:rsidRPr="005D569A">
              <w:rPr>
                <w:sz w:val="20"/>
                <w:szCs w:val="20"/>
              </w:rPr>
              <w:t xml:space="preserve"> </w:t>
            </w:r>
            <w:proofErr w:type="spellStart"/>
            <w:r w:rsidRPr="005D569A">
              <w:rPr>
                <w:sz w:val="20"/>
                <w:szCs w:val="20"/>
              </w:rPr>
              <w:t>noteikumu</w:t>
            </w:r>
            <w:proofErr w:type="spellEnd"/>
            <w:r w:rsidRPr="005D569A">
              <w:rPr>
                <w:sz w:val="20"/>
                <w:szCs w:val="20"/>
              </w:rPr>
              <w:t xml:space="preserve"> 33.3. </w:t>
            </w:r>
            <w:proofErr w:type="spellStart"/>
            <w:r w:rsidRPr="005D569A">
              <w:rPr>
                <w:sz w:val="20"/>
                <w:szCs w:val="20"/>
              </w:rPr>
              <w:t>apakšpunktam</w:t>
            </w:r>
            <w:proofErr w:type="spellEnd"/>
          </w:p>
        </w:tc>
        <w:tc>
          <w:tcPr>
            <w:tcW w:w="688" w:type="pct"/>
            <w:tcBorders>
              <w:top w:val="single" w:sz="4" w:space="0" w:color="auto"/>
              <w:left w:val="single" w:sz="4" w:space="0" w:color="auto"/>
              <w:bottom w:val="single" w:sz="4" w:space="0" w:color="auto"/>
            </w:tcBorders>
            <w:shd w:val="clear" w:color="auto" w:fill="auto"/>
            <w:vAlign w:val="center"/>
          </w:tcPr>
          <w:p w:rsidR="00143CAD" w:rsidRPr="005D569A" w:rsidRDefault="00143CAD" w:rsidP="00E97112">
            <w:pPr>
              <w:ind w:right="-57"/>
              <w:jc w:val="center"/>
              <w:rPr>
                <w:sz w:val="20"/>
                <w:szCs w:val="20"/>
              </w:rPr>
            </w:pPr>
            <w:r w:rsidRPr="005D569A">
              <w:rPr>
                <w:sz w:val="20"/>
                <w:szCs w:val="20"/>
              </w:rPr>
              <w:t>4</w:t>
            </w:r>
          </w:p>
        </w:tc>
        <w:tc>
          <w:tcPr>
            <w:tcW w:w="813" w:type="pct"/>
            <w:tcBorders>
              <w:top w:val="single" w:sz="4" w:space="0" w:color="auto"/>
              <w:left w:val="single" w:sz="4" w:space="0" w:color="auto"/>
              <w:bottom w:val="single" w:sz="4" w:space="0" w:color="auto"/>
            </w:tcBorders>
            <w:vAlign w:val="center"/>
          </w:tcPr>
          <w:p w:rsidR="00143CAD" w:rsidRPr="005D569A" w:rsidRDefault="00143CAD" w:rsidP="00E97112">
            <w:pPr>
              <w:ind w:right="-57"/>
              <w:jc w:val="center"/>
              <w:rPr>
                <w:sz w:val="20"/>
                <w:szCs w:val="20"/>
                <w:lang w:val="lv-LV"/>
              </w:rPr>
            </w:pPr>
            <w:r w:rsidRPr="005D569A">
              <w:rPr>
                <w:sz w:val="20"/>
                <w:szCs w:val="20"/>
                <w:lang w:val="lv-LV"/>
              </w:rPr>
              <w:t>-</w:t>
            </w:r>
          </w:p>
        </w:tc>
      </w:tr>
      <w:tr w:rsidR="00143CAD" w:rsidRPr="005D569A" w:rsidTr="00143CAD">
        <w:trPr>
          <w:trHeight w:val="161"/>
        </w:trPr>
        <w:tc>
          <w:tcPr>
            <w:tcW w:w="252" w:type="pct"/>
            <w:vMerge/>
            <w:shd w:val="clear" w:color="auto" w:fill="auto"/>
          </w:tcPr>
          <w:p w:rsidR="00143CAD" w:rsidRPr="005D569A" w:rsidRDefault="00143CAD" w:rsidP="00E97112">
            <w:pPr>
              <w:ind w:right="-57"/>
              <w:jc w:val="both"/>
              <w:rPr>
                <w:sz w:val="20"/>
                <w:szCs w:val="20"/>
                <w:lang w:val="lv-LV"/>
              </w:rPr>
            </w:pPr>
          </w:p>
        </w:tc>
        <w:tc>
          <w:tcPr>
            <w:tcW w:w="1034" w:type="pct"/>
            <w:vMerge/>
            <w:shd w:val="clear" w:color="auto" w:fill="auto"/>
          </w:tcPr>
          <w:p w:rsidR="00143CAD" w:rsidRPr="005D569A" w:rsidRDefault="00143CAD" w:rsidP="00E97112">
            <w:pPr>
              <w:widowControl w:val="0"/>
              <w:tabs>
                <w:tab w:val="left" w:pos="-850"/>
              </w:tabs>
              <w:autoSpaceDE w:val="0"/>
              <w:autoSpaceDN w:val="0"/>
              <w:adjustRightInd w:val="0"/>
              <w:ind w:right="-23"/>
              <w:jc w:val="both"/>
              <w:rPr>
                <w:sz w:val="20"/>
                <w:szCs w:val="20"/>
                <w:lang w:val="lv-LV" w:eastAsia="ar-SA"/>
              </w:rPr>
            </w:pPr>
          </w:p>
        </w:tc>
        <w:tc>
          <w:tcPr>
            <w:tcW w:w="2212" w:type="pct"/>
            <w:tcBorders>
              <w:top w:val="single" w:sz="4" w:space="0" w:color="auto"/>
              <w:bottom w:val="single" w:sz="4" w:space="0" w:color="auto"/>
              <w:right w:val="single" w:sz="4" w:space="0" w:color="auto"/>
            </w:tcBorders>
            <w:shd w:val="clear" w:color="auto" w:fill="auto"/>
          </w:tcPr>
          <w:p w:rsidR="00143CAD" w:rsidRPr="005D569A" w:rsidRDefault="00143CAD" w:rsidP="00E97112">
            <w:pPr>
              <w:ind w:right="-57"/>
              <w:jc w:val="both"/>
              <w:rPr>
                <w:sz w:val="20"/>
                <w:szCs w:val="20"/>
              </w:rPr>
            </w:pPr>
            <w:r w:rsidRPr="005D569A">
              <w:rPr>
                <w:sz w:val="20"/>
                <w:szCs w:val="20"/>
              </w:rPr>
              <w:t xml:space="preserve">Pretendenta </w:t>
            </w:r>
            <w:proofErr w:type="spellStart"/>
            <w:r w:rsidRPr="005D569A">
              <w:rPr>
                <w:sz w:val="20"/>
                <w:szCs w:val="20"/>
              </w:rPr>
              <w:t>tehniskajā</w:t>
            </w:r>
            <w:proofErr w:type="spellEnd"/>
            <w:r w:rsidRPr="005D569A">
              <w:rPr>
                <w:sz w:val="20"/>
                <w:szCs w:val="20"/>
              </w:rPr>
              <w:t xml:space="preserve"> </w:t>
            </w:r>
            <w:proofErr w:type="spellStart"/>
            <w:r w:rsidRPr="005D569A">
              <w:rPr>
                <w:sz w:val="20"/>
                <w:szCs w:val="20"/>
              </w:rPr>
              <w:t>piedāvājumā</w:t>
            </w:r>
            <w:proofErr w:type="spellEnd"/>
            <w:r w:rsidRPr="005D569A">
              <w:rPr>
                <w:sz w:val="20"/>
                <w:szCs w:val="20"/>
              </w:rPr>
              <w:t xml:space="preserve"> </w:t>
            </w:r>
            <w:proofErr w:type="spellStart"/>
            <w:r w:rsidRPr="005D569A">
              <w:rPr>
                <w:sz w:val="20"/>
                <w:szCs w:val="20"/>
              </w:rPr>
              <w:t>ietvertais</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metodoloģijas</w:t>
            </w:r>
            <w:proofErr w:type="spellEnd"/>
            <w:r w:rsidRPr="005D569A">
              <w:rPr>
                <w:sz w:val="20"/>
                <w:szCs w:val="20"/>
              </w:rPr>
              <w:t xml:space="preserve"> </w:t>
            </w:r>
            <w:proofErr w:type="spellStart"/>
            <w:r w:rsidRPr="005D569A">
              <w:rPr>
                <w:sz w:val="20"/>
                <w:szCs w:val="20"/>
              </w:rPr>
              <w:t>apraksts</w:t>
            </w:r>
            <w:proofErr w:type="spellEnd"/>
            <w:r w:rsidRPr="005D569A">
              <w:rPr>
                <w:sz w:val="20"/>
                <w:szCs w:val="20"/>
              </w:rPr>
              <w:t xml:space="preserve"> </w:t>
            </w:r>
            <w:proofErr w:type="spellStart"/>
            <w:r w:rsidRPr="005D569A">
              <w:rPr>
                <w:sz w:val="20"/>
                <w:szCs w:val="20"/>
              </w:rPr>
              <w:t>nedod</w:t>
            </w:r>
            <w:proofErr w:type="spellEnd"/>
            <w:r w:rsidRPr="005D569A">
              <w:rPr>
                <w:sz w:val="20"/>
                <w:szCs w:val="20"/>
              </w:rPr>
              <w:t xml:space="preserve"> </w:t>
            </w:r>
            <w:proofErr w:type="spellStart"/>
            <w:r w:rsidRPr="005D569A">
              <w:rPr>
                <w:sz w:val="20"/>
                <w:szCs w:val="20"/>
              </w:rPr>
              <w:t>priekšstatu</w:t>
            </w:r>
            <w:proofErr w:type="spellEnd"/>
            <w:r w:rsidRPr="005D569A">
              <w:rPr>
                <w:sz w:val="20"/>
                <w:szCs w:val="20"/>
              </w:rPr>
              <w:t xml:space="preserve"> par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pakalpojumu</w:t>
            </w:r>
            <w:proofErr w:type="spellEnd"/>
            <w:r w:rsidRPr="005D569A">
              <w:rPr>
                <w:sz w:val="20"/>
                <w:szCs w:val="20"/>
              </w:rPr>
              <w:t xml:space="preserve"> </w:t>
            </w:r>
          </w:p>
        </w:tc>
        <w:tc>
          <w:tcPr>
            <w:tcW w:w="688" w:type="pct"/>
            <w:tcBorders>
              <w:top w:val="single" w:sz="4" w:space="0" w:color="auto"/>
              <w:left w:val="single" w:sz="4" w:space="0" w:color="auto"/>
              <w:bottom w:val="single" w:sz="4" w:space="0" w:color="auto"/>
            </w:tcBorders>
            <w:shd w:val="clear" w:color="auto" w:fill="auto"/>
            <w:vAlign w:val="center"/>
          </w:tcPr>
          <w:p w:rsidR="00143CAD" w:rsidRPr="005D569A" w:rsidRDefault="00143CAD" w:rsidP="00E97112">
            <w:pPr>
              <w:ind w:right="-57"/>
              <w:jc w:val="center"/>
              <w:rPr>
                <w:sz w:val="20"/>
                <w:szCs w:val="20"/>
              </w:rPr>
            </w:pPr>
            <w:r w:rsidRPr="005D569A">
              <w:rPr>
                <w:sz w:val="20"/>
                <w:szCs w:val="20"/>
              </w:rPr>
              <w:t>1</w:t>
            </w:r>
          </w:p>
        </w:tc>
        <w:tc>
          <w:tcPr>
            <w:tcW w:w="813" w:type="pct"/>
            <w:tcBorders>
              <w:top w:val="single" w:sz="4" w:space="0" w:color="auto"/>
              <w:left w:val="single" w:sz="4" w:space="0" w:color="auto"/>
              <w:bottom w:val="single" w:sz="4" w:space="0" w:color="auto"/>
            </w:tcBorders>
            <w:vAlign w:val="center"/>
          </w:tcPr>
          <w:p w:rsidR="00143CAD" w:rsidRPr="005D569A" w:rsidRDefault="00143CAD" w:rsidP="00E97112">
            <w:pPr>
              <w:ind w:right="-57"/>
              <w:jc w:val="center"/>
              <w:rPr>
                <w:sz w:val="20"/>
                <w:szCs w:val="20"/>
                <w:lang w:val="lv-LV"/>
              </w:rPr>
            </w:pPr>
            <w:r w:rsidRPr="005D569A">
              <w:rPr>
                <w:sz w:val="20"/>
                <w:szCs w:val="20"/>
                <w:lang w:val="lv-LV"/>
              </w:rPr>
              <w:t>-</w:t>
            </w:r>
          </w:p>
        </w:tc>
      </w:tr>
      <w:tr w:rsidR="00143CAD" w:rsidRPr="005D569A" w:rsidTr="00143CAD">
        <w:trPr>
          <w:trHeight w:val="226"/>
        </w:trPr>
        <w:tc>
          <w:tcPr>
            <w:tcW w:w="252" w:type="pct"/>
            <w:vMerge/>
            <w:shd w:val="clear" w:color="auto" w:fill="auto"/>
          </w:tcPr>
          <w:p w:rsidR="00143CAD" w:rsidRPr="005D569A" w:rsidRDefault="00143CAD" w:rsidP="00E97112">
            <w:pPr>
              <w:ind w:right="-57"/>
              <w:jc w:val="both"/>
              <w:rPr>
                <w:sz w:val="20"/>
                <w:szCs w:val="20"/>
                <w:lang w:val="lv-LV"/>
              </w:rPr>
            </w:pPr>
          </w:p>
        </w:tc>
        <w:tc>
          <w:tcPr>
            <w:tcW w:w="1034" w:type="pct"/>
            <w:vMerge/>
            <w:shd w:val="clear" w:color="auto" w:fill="auto"/>
          </w:tcPr>
          <w:p w:rsidR="00143CAD" w:rsidRPr="005D569A" w:rsidRDefault="00143CAD" w:rsidP="00E97112">
            <w:pPr>
              <w:widowControl w:val="0"/>
              <w:tabs>
                <w:tab w:val="left" w:pos="-850"/>
              </w:tabs>
              <w:autoSpaceDE w:val="0"/>
              <w:autoSpaceDN w:val="0"/>
              <w:adjustRightInd w:val="0"/>
              <w:ind w:right="-23"/>
              <w:jc w:val="both"/>
              <w:rPr>
                <w:sz w:val="20"/>
                <w:szCs w:val="20"/>
                <w:lang w:val="lv-LV" w:eastAsia="ar-SA"/>
              </w:rPr>
            </w:pPr>
          </w:p>
        </w:tc>
        <w:tc>
          <w:tcPr>
            <w:tcW w:w="2212" w:type="pct"/>
            <w:tcBorders>
              <w:top w:val="single" w:sz="4" w:space="0" w:color="auto"/>
              <w:right w:val="single" w:sz="4" w:space="0" w:color="auto"/>
            </w:tcBorders>
            <w:shd w:val="clear" w:color="auto" w:fill="auto"/>
          </w:tcPr>
          <w:p w:rsidR="00143CAD" w:rsidRPr="005D569A" w:rsidRDefault="00143CAD" w:rsidP="00E97112">
            <w:pPr>
              <w:ind w:right="-57"/>
              <w:jc w:val="both"/>
              <w:rPr>
                <w:sz w:val="20"/>
                <w:szCs w:val="20"/>
              </w:rPr>
            </w:pP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nav</w:t>
            </w:r>
            <w:proofErr w:type="spellEnd"/>
            <w:r w:rsidRPr="005D569A">
              <w:rPr>
                <w:sz w:val="20"/>
                <w:szCs w:val="20"/>
              </w:rPr>
              <w:t xml:space="preserve"> </w:t>
            </w:r>
            <w:proofErr w:type="spellStart"/>
            <w:r w:rsidRPr="005D569A">
              <w:rPr>
                <w:sz w:val="20"/>
                <w:szCs w:val="20"/>
              </w:rPr>
              <w:t>aprakstījis</w:t>
            </w:r>
            <w:proofErr w:type="spellEnd"/>
            <w:r w:rsidRPr="005D569A">
              <w:rPr>
                <w:sz w:val="20"/>
                <w:szCs w:val="20"/>
              </w:rPr>
              <w:t xml:space="preserve"> </w:t>
            </w:r>
            <w:proofErr w:type="spellStart"/>
            <w:r w:rsidRPr="005D569A">
              <w:rPr>
                <w:sz w:val="20"/>
                <w:szCs w:val="20"/>
              </w:rPr>
              <w:t>pielietoto</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metodoloģiju</w:t>
            </w:r>
            <w:proofErr w:type="spellEnd"/>
          </w:p>
        </w:tc>
        <w:tc>
          <w:tcPr>
            <w:tcW w:w="688" w:type="pct"/>
            <w:tcBorders>
              <w:top w:val="single" w:sz="4" w:space="0" w:color="auto"/>
              <w:left w:val="single" w:sz="4" w:space="0" w:color="auto"/>
            </w:tcBorders>
            <w:shd w:val="clear" w:color="auto" w:fill="auto"/>
            <w:vAlign w:val="center"/>
          </w:tcPr>
          <w:p w:rsidR="00143CAD" w:rsidRPr="005D569A" w:rsidRDefault="00143CAD" w:rsidP="00E97112">
            <w:pPr>
              <w:ind w:right="-57"/>
              <w:jc w:val="center"/>
              <w:rPr>
                <w:sz w:val="20"/>
                <w:szCs w:val="20"/>
              </w:rPr>
            </w:pPr>
            <w:r w:rsidRPr="005D569A">
              <w:rPr>
                <w:sz w:val="20"/>
                <w:szCs w:val="20"/>
              </w:rPr>
              <w:t>0</w:t>
            </w:r>
          </w:p>
        </w:tc>
        <w:tc>
          <w:tcPr>
            <w:tcW w:w="813" w:type="pct"/>
            <w:tcBorders>
              <w:top w:val="single" w:sz="4" w:space="0" w:color="auto"/>
              <w:left w:val="single" w:sz="4" w:space="0" w:color="auto"/>
            </w:tcBorders>
            <w:vAlign w:val="center"/>
          </w:tcPr>
          <w:p w:rsidR="00143CAD" w:rsidRPr="005D569A" w:rsidRDefault="00143CAD" w:rsidP="00E97112">
            <w:pPr>
              <w:ind w:right="-57"/>
              <w:jc w:val="center"/>
              <w:rPr>
                <w:sz w:val="20"/>
                <w:szCs w:val="20"/>
                <w:lang w:val="lv-LV"/>
              </w:rPr>
            </w:pPr>
            <w:r w:rsidRPr="005D569A">
              <w:rPr>
                <w:sz w:val="20"/>
                <w:szCs w:val="20"/>
                <w:lang w:val="lv-LV"/>
              </w:rPr>
              <w:t>-</w:t>
            </w:r>
          </w:p>
        </w:tc>
      </w:tr>
      <w:tr w:rsidR="00143CAD" w:rsidRPr="005D569A" w:rsidTr="00143CAD">
        <w:trPr>
          <w:trHeight w:val="290"/>
        </w:trPr>
        <w:tc>
          <w:tcPr>
            <w:tcW w:w="252" w:type="pct"/>
            <w:vMerge w:val="restart"/>
            <w:shd w:val="clear" w:color="auto" w:fill="auto"/>
          </w:tcPr>
          <w:p w:rsidR="00143CAD" w:rsidRPr="005D569A" w:rsidRDefault="00143CAD" w:rsidP="00E97112">
            <w:pPr>
              <w:ind w:right="-57"/>
              <w:jc w:val="both"/>
              <w:rPr>
                <w:sz w:val="20"/>
                <w:szCs w:val="20"/>
                <w:lang w:val="lv-LV"/>
              </w:rPr>
            </w:pPr>
            <w:r w:rsidRPr="005D569A">
              <w:rPr>
                <w:sz w:val="20"/>
                <w:szCs w:val="20"/>
                <w:lang w:val="lv-LV"/>
              </w:rPr>
              <w:t>B3</w:t>
            </w:r>
          </w:p>
        </w:tc>
        <w:tc>
          <w:tcPr>
            <w:tcW w:w="1034" w:type="pct"/>
            <w:vMerge w:val="restart"/>
            <w:shd w:val="clear" w:color="auto" w:fill="auto"/>
          </w:tcPr>
          <w:p w:rsidR="00143CAD" w:rsidRPr="005D569A" w:rsidRDefault="00143CAD" w:rsidP="00E97112">
            <w:pPr>
              <w:widowControl w:val="0"/>
              <w:tabs>
                <w:tab w:val="left" w:pos="-850"/>
              </w:tabs>
              <w:autoSpaceDE w:val="0"/>
              <w:autoSpaceDN w:val="0"/>
              <w:adjustRightInd w:val="0"/>
              <w:ind w:right="-23"/>
              <w:jc w:val="both"/>
              <w:rPr>
                <w:noProof/>
                <w:sz w:val="20"/>
                <w:szCs w:val="20"/>
                <w:lang w:val="lv-LV"/>
              </w:rPr>
            </w:pPr>
            <w:r w:rsidRPr="005D569A">
              <w:rPr>
                <w:noProof/>
                <w:sz w:val="20"/>
                <w:szCs w:val="20"/>
                <w:lang w:val="lv-LV" w:eastAsia="ar-SA"/>
              </w:rPr>
              <w:t>Revīzijas pakalpojuma laika grafiks</w:t>
            </w:r>
          </w:p>
          <w:p w:rsidR="00143CAD" w:rsidRPr="005D569A" w:rsidRDefault="00143CAD" w:rsidP="00E97112">
            <w:pPr>
              <w:widowControl w:val="0"/>
              <w:tabs>
                <w:tab w:val="left" w:pos="0"/>
              </w:tabs>
              <w:suppressAutoHyphens/>
              <w:autoSpaceDE w:val="0"/>
              <w:autoSpaceDN w:val="0"/>
              <w:adjustRightInd w:val="0"/>
              <w:ind w:right="-23"/>
              <w:jc w:val="both"/>
              <w:rPr>
                <w:noProof/>
                <w:sz w:val="20"/>
                <w:szCs w:val="20"/>
                <w:lang w:val="lv-LV"/>
              </w:rPr>
            </w:pPr>
          </w:p>
        </w:tc>
        <w:tc>
          <w:tcPr>
            <w:tcW w:w="2212" w:type="pct"/>
            <w:tcBorders>
              <w:bottom w:val="single" w:sz="4" w:space="0" w:color="auto"/>
              <w:right w:val="single" w:sz="4" w:space="0" w:color="auto"/>
            </w:tcBorders>
            <w:shd w:val="clear" w:color="auto" w:fill="auto"/>
          </w:tcPr>
          <w:p w:rsidR="00143CAD" w:rsidRPr="005D569A" w:rsidRDefault="00143CAD" w:rsidP="00E97112">
            <w:pPr>
              <w:widowControl w:val="0"/>
              <w:tabs>
                <w:tab w:val="left" w:pos="0"/>
              </w:tabs>
              <w:autoSpaceDE w:val="0"/>
              <w:autoSpaceDN w:val="0"/>
              <w:adjustRightInd w:val="0"/>
              <w:ind w:right="-23"/>
              <w:jc w:val="both"/>
              <w:rPr>
                <w:noProof/>
                <w:sz w:val="20"/>
                <w:szCs w:val="20"/>
              </w:rPr>
            </w:pP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laika</w:t>
            </w:r>
            <w:proofErr w:type="spellEnd"/>
            <w:r w:rsidRPr="005D569A">
              <w:rPr>
                <w:sz w:val="20"/>
                <w:szCs w:val="20"/>
              </w:rPr>
              <w:t xml:space="preserve"> </w:t>
            </w:r>
            <w:proofErr w:type="spellStart"/>
            <w:r w:rsidRPr="005D569A">
              <w:rPr>
                <w:sz w:val="20"/>
                <w:szCs w:val="20"/>
              </w:rPr>
              <w:t>grafikā</w:t>
            </w:r>
            <w:proofErr w:type="spellEnd"/>
            <w:r w:rsidRPr="005D569A">
              <w:rPr>
                <w:sz w:val="20"/>
                <w:szCs w:val="20"/>
              </w:rPr>
              <w:t xml:space="preserve"> ir </w:t>
            </w:r>
            <w:proofErr w:type="spellStart"/>
            <w:r w:rsidRPr="005D569A">
              <w:rPr>
                <w:sz w:val="20"/>
                <w:szCs w:val="20"/>
              </w:rPr>
              <w:t>detalizēti</w:t>
            </w:r>
            <w:proofErr w:type="spellEnd"/>
            <w:r w:rsidRPr="005D569A">
              <w:rPr>
                <w:sz w:val="20"/>
                <w:szCs w:val="20"/>
              </w:rPr>
              <w:t xml:space="preserve"> </w:t>
            </w:r>
            <w:proofErr w:type="spellStart"/>
            <w:r w:rsidRPr="005D569A">
              <w:rPr>
                <w:sz w:val="20"/>
                <w:szCs w:val="20"/>
              </w:rPr>
              <w:t>atspoguļojis</w:t>
            </w:r>
            <w:proofErr w:type="spellEnd"/>
            <w:r w:rsidRPr="005D569A">
              <w:rPr>
                <w:sz w:val="20"/>
                <w:szCs w:val="20"/>
              </w:rPr>
              <w:t xml:space="preserve"> </w:t>
            </w:r>
            <w:proofErr w:type="spellStart"/>
            <w:r w:rsidRPr="005D569A">
              <w:rPr>
                <w:sz w:val="20"/>
                <w:szCs w:val="20"/>
              </w:rPr>
              <w:t>viena</w:t>
            </w:r>
            <w:proofErr w:type="spellEnd"/>
            <w:r w:rsidRPr="005D569A">
              <w:rPr>
                <w:sz w:val="20"/>
                <w:szCs w:val="20"/>
              </w:rPr>
              <w:t xml:space="preserve"> </w:t>
            </w:r>
            <w:proofErr w:type="spellStart"/>
            <w:r w:rsidRPr="005D569A">
              <w:rPr>
                <w:sz w:val="20"/>
                <w:szCs w:val="20"/>
              </w:rPr>
              <w:t>gada</w:t>
            </w:r>
            <w:proofErr w:type="spellEnd"/>
            <w:r w:rsidRPr="005D569A">
              <w:rPr>
                <w:sz w:val="20"/>
                <w:szCs w:val="20"/>
              </w:rPr>
              <w:t xml:space="preserve"> </w:t>
            </w:r>
            <w:proofErr w:type="spellStart"/>
            <w:r w:rsidRPr="005D569A">
              <w:rPr>
                <w:sz w:val="20"/>
                <w:szCs w:val="20"/>
              </w:rPr>
              <w:t>ietvaros</w:t>
            </w:r>
            <w:proofErr w:type="spellEnd"/>
            <w:r w:rsidRPr="005D569A">
              <w:rPr>
                <w:sz w:val="20"/>
                <w:szCs w:val="20"/>
              </w:rPr>
              <w:t xml:space="preserve"> </w:t>
            </w:r>
            <w:proofErr w:type="spellStart"/>
            <w:r w:rsidRPr="005D569A">
              <w:rPr>
                <w:sz w:val="20"/>
                <w:szCs w:val="20"/>
              </w:rPr>
              <w:t>sniedzamos</w:t>
            </w:r>
            <w:proofErr w:type="spellEnd"/>
            <w:r w:rsidRPr="005D569A">
              <w:rPr>
                <w:sz w:val="20"/>
                <w:szCs w:val="20"/>
              </w:rPr>
              <w:t xml:space="preserve"> </w:t>
            </w:r>
            <w:proofErr w:type="spellStart"/>
            <w:r w:rsidRPr="005D569A">
              <w:rPr>
                <w:sz w:val="20"/>
                <w:szCs w:val="20"/>
              </w:rPr>
              <w:t>pakalpojumus</w:t>
            </w:r>
            <w:proofErr w:type="spellEnd"/>
            <w:r w:rsidRPr="005D569A">
              <w:rPr>
                <w:sz w:val="20"/>
                <w:szCs w:val="20"/>
              </w:rPr>
              <w:t xml:space="preserve"> un </w:t>
            </w:r>
            <w:proofErr w:type="spellStart"/>
            <w:r w:rsidRPr="005D569A">
              <w:rPr>
                <w:sz w:val="20"/>
                <w:szCs w:val="20"/>
              </w:rPr>
              <w:t>aktivitātes</w:t>
            </w:r>
            <w:proofErr w:type="spellEnd"/>
            <w:r w:rsidRPr="005D569A">
              <w:rPr>
                <w:sz w:val="20"/>
                <w:szCs w:val="20"/>
              </w:rPr>
              <w:t xml:space="preserve"> atbilstoši </w:t>
            </w:r>
            <w:proofErr w:type="spellStart"/>
            <w:r w:rsidRPr="005D569A">
              <w:rPr>
                <w:sz w:val="20"/>
                <w:szCs w:val="20"/>
              </w:rPr>
              <w:t>Iepirkuma</w:t>
            </w:r>
            <w:proofErr w:type="spellEnd"/>
            <w:r w:rsidRPr="005D569A">
              <w:rPr>
                <w:sz w:val="20"/>
                <w:szCs w:val="20"/>
              </w:rPr>
              <w:t xml:space="preserve"> </w:t>
            </w:r>
            <w:proofErr w:type="spellStart"/>
            <w:r w:rsidRPr="005D569A">
              <w:rPr>
                <w:sz w:val="20"/>
                <w:szCs w:val="20"/>
              </w:rPr>
              <w:t>noteikumu</w:t>
            </w:r>
            <w:proofErr w:type="spellEnd"/>
            <w:r w:rsidRPr="005D569A">
              <w:rPr>
                <w:sz w:val="20"/>
                <w:szCs w:val="20"/>
              </w:rPr>
              <w:t xml:space="preserve"> 33.4. </w:t>
            </w:r>
            <w:proofErr w:type="spellStart"/>
            <w:r w:rsidRPr="005D569A">
              <w:rPr>
                <w:sz w:val="20"/>
                <w:szCs w:val="20"/>
              </w:rPr>
              <w:t>apakšpunkta</w:t>
            </w:r>
            <w:proofErr w:type="spellEnd"/>
            <w:r w:rsidRPr="005D569A">
              <w:rPr>
                <w:sz w:val="20"/>
                <w:szCs w:val="20"/>
              </w:rPr>
              <w:t xml:space="preserve"> prasībām, </w:t>
            </w:r>
            <w:proofErr w:type="spellStart"/>
            <w:r w:rsidRPr="005D569A">
              <w:rPr>
                <w:sz w:val="20"/>
                <w:szCs w:val="20"/>
              </w:rPr>
              <w:t>kas</w:t>
            </w:r>
            <w:proofErr w:type="spellEnd"/>
            <w:r w:rsidRPr="005D569A">
              <w:rPr>
                <w:sz w:val="20"/>
                <w:szCs w:val="20"/>
              </w:rPr>
              <w:t xml:space="preserve"> </w:t>
            </w:r>
            <w:proofErr w:type="spellStart"/>
            <w:r w:rsidRPr="005D569A">
              <w:rPr>
                <w:sz w:val="20"/>
                <w:szCs w:val="20"/>
              </w:rPr>
              <w:t>dod</w:t>
            </w:r>
            <w:proofErr w:type="spellEnd"/>
            <w:r w:rsidRPr="005D569A">
              <w:rPr>
                <w:sz w:val="20"/>
                <w:szCs w:val="20"/>
              </w:rPr>
              <w:t xml:space="preserve"> </w:t>
            </w:r>
            <w:proofErr w:type="spellStart"/>
            <w:r w:rsidRPr="005D569A">
              <w:rPr>
                <w:sz w:val="20"/>
                <w:szCs w:val="20"/>
              </w:rPr>
              <w:t>pilnīgu</w:t>
            </w:r>
            <w:proofErr w:type="spellEnd"/>
            <w:r w:rsidRPr="005D569A">
              <w:rPr>
                <w:sz w:val="20"/>
                <w:szCs w:val="20"/>
              </w:rPr>
              <w:t xml:space="preserve"> </w:t>
            </w:r>
            <w:proofErr w:type="spellStart"/>
            <w:r w:rsidRPr="005D569A">
              <w:rPr>
                <w:sz w:val="20"/>
                <w:szCs w:val="20"/>
              </w:rPr>
              <w:t>priekšstatu</w:t>
            </w:r>
            <w:proofErr w:type="spellEnd"/>
            <w:r w:rsidRPr="005D569A">
              <w:rPr>
                <w:sz w:val="20"/>
                <w:szCs w:val="20"/>
              </w:rPr>
              <w:t xml:space="preserve"> par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pakalpojuma</w:t>
            </w:r>
            <w:proofErr w:type="spellEnd"/>
            <w:r w:rsidRPr="005D569A">
              <w:rPr>
                <w:sz w:val="20"/>
                <w:szCs w:val="20"/>
              </w:rPr>
              <w:t xml:space="preserve"> </w:t>
            </w:r>
            <w:proofErr w:type="spellStart"/>
            <w:r w:rsidRPr="005D569A">
              <w:rPr>
                <w:sz w:val="20"/>
                <w:szCs w:val="20"/>
              </w:rPr>
              <w:t>plānu</w:t>
            </w:r>
            <w:proofErr w:type="spellEnd"/>
          </w:p>
        </w:tc>
        <w:tc>
          <w:tcPr>
            <w:tcW w:w="688" w:type="pct"/>
            <w:tcBorders>
              <w:left w:val="single" w:sz="4" w:space="0" w:color="auto"/>
              <w:bottom w:val="single" w:sz="4" w:space="0" w:color="auto"/>
            </w:tcBorders>
            <w:shd w:val="clear" w:color="auto" w:fill="auto"/>
            <w:vAlign w:val="center"/>
          </w:tcPr>
          <w:p w:rsidR="00143CAD" w:rsidRPr="005D569A" w:rsidRDefault="00143CAD" w:rsidP="00E97112">
            <w:pPr>
              <w:widowControl w:val="0"/>
              <w:tabs>
                <w:tab w:val="left" w:pos="0"/>
              </w:tabs>
              <w:autoSpaceDE w:val="0"/>
              <w:autoSpaceDN w:val="0"/>
              <w:adjustRightInd w:val="0"/>
              <w:ind w:right="-23"/>
              <w:jc w:val="center"/>
              <w:rPr>
                <w:noProof/>
                <w:sz w:val="20"/>
                <w:szCs w:val="20"/>
              </w:rPr>
            </w:pPr>
            <w:r w:rsidRPr="005D569A">
              <w:rPr>
                <w:noProof/>
                <w:sz w:val="20"/>
                <w:szCs w:val="20"/>
              </w:rPr>
              <w:t>12</w:t>
            </w:r>
          </w:p>
        </w:tc>
        <w:tc>
          <w:tcPr>
            <w:tcW w:w="813" w:type="pct"/>
            <w:tcBorders>
              <w:left w:val="single" w:sz="4" w:space="0" w:color="auto"/>
              <w:bottom w:val="single" w:sz="4" w:space="0" w:color="auto"/>
            </w:tcBorders>
            <w:vAlign w:val="center"/>
          </w:tcPr>
          <w:p w:rsidR="00143CAD" w:rsidRPr="005D569A" w:rsidRDefault="00143CAD" w:rsidP="00E97112">
            <w:pPr>
              <w:widowControl w:val="0"/>
              <w:tabs>
                <w:tab w:val="left" w:pos="0"/>
              </w:tabs>
              <w:suppressAutoHyphens/>
              <w:autoSpaceDE w:val="0"/>
              <w:autoSpaceDN w:val="0"/>
              <w:adjustRightInd w:val="0"/>
              <w:ind w:right="-23"/>
              <w:jc w:val="center"/>
              <w:rPr>
                <w:noProof/>
                <w:sz w:val="20"/>
                <w:szCs w:val="20"/>
                <w:lang w:val="lv-LV"/>
              </w:rPr>
            </w:pPr>
            <w:r w:rsidRPr="005D569A">
              <w:rPr>
                <w:noProof/>
                <w:sz w:val="20"/>
                <w:szCs w:val="20"/>
                <w:lang w:val="lv-LV"/>
              </w:rPr>
              <w:t>12</w:t>
            </w:r>
          </w:p>
        </w:tc>
      </w:tr>
      <w:tr w:rsidR="00143CAD" w:rsidRPr="005D569A" w:rsidTr="00143CAD">
        <w:trPr>
          <w:trHeight w:val="280"/>
        </w:trPr>
        <w:tc>
          <w:tcPr>
            <w:tcW w:w="252" w:type="pct"/>
            <w:vMerge/>
            <w:shd w:val="clear" w:color="auto" w:fill="auto"/>
          </w:tcPr>
          <w:p w:rsidR="00143CAD" w:rsidRPr="005D569A" w:rsidRDefault="00143CAD" w:rsidP="00E97112">
            <w:pPr>
              <w:ind w:right="-57"/>
              <w:jc w:val="both"/>
              <w:rPr>
                <w:sz w:val="20"/>
                <w:szCs w:val="20"/>
                <w:lang w:val="lv-LV"/>
              </w:rPr>
            </w:pPr>
          </w:p>
        </w:tc>
        <w:tc>
          <w:tcPr>
            <w:tcW w:w="1034" w:type="pct"/>
            <w:vMerge/>
            <w:shd w:val="clear" w:color="auto" w:fill="auto"/>
          </w:tcPr>
          <w:p w:rsidR="00143CAD" w:rsidRPr="005D569A" w:rsidRDefault="00143CAD" w:rsidP="00E97112">
            <w:pPr>
              <w:widowControl w:val="0"/>
              <w:tabs>
                <w:tab w:val="left" w:pos="0"/>
              </w:tabs>
              <w:suppressAutoHyphens/>
              <w:autoSpaceDE w:val="0"/>
              <w:autoSpaceDN w:val="0"/>
              <w:adjustRightInd w:val="0"/>
              <w:ind w:right="-23"/>
              <w:jc w:val="both"/>
              <w:rPr>
                <w:noProof/>
                <w:sz w:val="20"/>
                <w:szCs w:val="20"/>
                <w:lang w:val="lv-LV"/>
              </w:rPr>
            </w:pPr>
          </w:p>
        </w:tc>
        <w:tc>
          <w:tcPr>
            <w:tcW w:w="2212" w:type="pct"/>
            <w:tcBorders>
              <w:top w:val="single" w:sz="4" w:space="0" w:color="auto"/>
              <w:bottom w:val="single" w:sz="4" w:space="0" w:color="auto"/>
              <w:right w:val="single" w:sz="4" w:space="0" w:color="auto"/>
            </w:tcBorders>
            <w:shd w:val="clear" w:color="auto" w:fill="auto"/>
          </w:tcPr>
          <w:p w:rsidR="00143CAD" w:rsidRPr="005D569A" w:rsidRDefault="00143CAD" w:rsidP="00E97112">
            <w:pPr>
              <w:widowControl w:val="0"/>
              <w:tabs>
                <w:tab w:val="left" w:pos="0"/>
              </w:tabs>
              <w:autoSpaceDE w:val="0"/>
              <w:autoSpaceDN w:val="0"/>
              <w:adjustRightInd w:val="0"/>
              <w:ind w:right="-23"/>
              <w:jc w:val="both"/>
              <w:rPr>
                <w:noProof/>
                <w:sz w:val="20"/>
                <w:szCs w:val="20"/>
              </w:rPr>
            </w:pP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laika</w:t>
            </w:r>
            <w:proofErr w:type="spellEnd"/>
            <w:r w:rsidRPr="005D569A">
              <w:rPr>
                <w:sz w:val="20"/>
                <w:szCs w:val="20"/>
              </w:rPr>
              <w:t xml:space="preserve"> </w:t>
            </w:r>
            <w:proofErr w:type="spellStart"/>
            <w:r w:rsidRPr="005D569A">
              <w:rPr>
                <w:sz w:val="20"/>
                <w:szCs w:val="20"/>
              </w:rPr>
              <w:t>grafikā</w:t>
            </w:r>
            <w:proofErr w:type="spellEnd"/>
            <w:r w:rsidRPr="005D569A">
              <w:rPr>
                <w:sz w:val="20"/>
                <w:szCs w:val="20"/>
              </w:rPr>
              <w:t xml:space="preserve"> ir </w:t>
            </w:r>
            <w:proofErr w:type="spellStart"/>
            <w:r w:rsidRPr="005D569A">
              <w:rPr>
                <w:sz w:val="20"/>
                <w:szCs w:val="20"/>
              </w:rPr>
              <w:t>vispārēji</w:t>
            </w:r>
            <w:proofErr w:type="spellEnd"/>
            <w:r w:rsidRPr="005D569A">
              <w:rPr>
                <w:sz w:val="20"/>
                <w:szCs w:val="20"/>
              </w:rPr>
              <w:t>/</w:t>
            </w:r>
            <w:proofErr w:type="spellStart"/>
            <w:r w:rsidRPr="005D569A">
              <w:rPr>
                <w:sz w:val="20"/>
                <w:szCs w:val="20"/>
              </w:rPr>
              <w:t>daļēji</w:t>
            </w:r>
            <w:proofErr w:type="spellEnd"/>
            <w:r w:rsidRPr="005D569A">
              <w:rPr>
                <w:sz w:val="20"/>
                <w:szCs w:val="20"/>
              </w:rPr>
              <w:t xml:space="preserve"> </w:t>
            </w:r>
            <w:proofErr w:type="spellStart"/>
            <w:r w:rsidRPr="005D569A">
              <w:rPr>
                <w:sz w:val="20"/>
                <w:szCs w:val="20"/>
              </w:rPr>
              <w:t>atspoguļojis</w:t>
            </w:r>
            <w:proofErr w:type="spellEnd"/>
            <w:r w:rsidRPr="005D569A">
              <w:rPr>
                <w:sz w:val="20"/>
                <w:szCs w:val="20"/>
              </w:rPr>
              <w:t xml:space="preserve"> </w:t>
            </w:r>
            <w:proofErr w:type="spellStart"/>
            <w:r w:rsidRPr="005D569A">
              <w:rPr>
                <w:sz w:val="20"/>
                <w:szCs w:val="20"/>
              </w:rPr>
              <w:t>viena</w:t>
            </w:r>
            <w:proofErr w:type="spellEnd"/>
            <w:r w:rsidRPr="005D569A">
              <w:rPr>
                <w:sz w:val="20"/>
                <w:szCs w:val="20"/>
              </w:rPr>
              <w:t xml:space="preserve"> </w:t>
            </w:r>
            <w:proofErr w:type="spellStart"/>
            <w:r w:rsidRPr="005D569A">
              <w:rPr>
                <w:sz w:val="20"/>
                <w:szCs w:val="20"/>
              </w:rPr>
              <w:t>gada</w:t>
            </w:r>
            <w:proofErr w:type="spellEnd"/>
            <w:r w:rsidRPr="005D569A">
              <w:rPr>
                <w:sz w:val="20"/>
                <w:szCs w:val="20"/>
              </w:rPr>
              <w:t xml:space="preserve"> </w:t>
            </w:r>
            <w:proofErr w:type="spellStart"/>
            <w:r w:rsidRPr="005D569A">
              <w:rPr>
                <w:sz w:val="20"/>
                <w:szCs w:val="20"/>
              </w:rPr>
              <w:t>ietvaros</w:t>
            </w:r>
            <w:proofErr w:type="spellEnd"/>
            <w:r w:rsidRPr="005D569A">
              <w:rPr>
                <w:sz w:val="20"/>
                <w:szCs w:val="20"/>
              </w:rPr>
              <w:t xml:space="preserve"> </w:t>
            </w:r>
            <w:proofErr w:type="spellStart"/>
            <w:r w:rsidRPr="005D569A">
              <w:rPr>
                <w:sz w:val="20"/>
                <w:szCs w:val="20"/>
              </w:rPr>
              <w:t>sniedzamo</w:t>
            </w:r>
            <w:proofErr w:type="spellEnd"/>
            <w:r w:rsidRPr="005D569A">
              <w:rPr>
                <w:sz w:val="20"/>
                <w:szCs w:val="20"/>
              </w:rPr>
              <w:t xml:space="preserve"> </w:t>
            </w:r>
            <w:proofErr w:type="spellStart"/>
            <w:r w:rsidRPr="005D569A">
              <w:rPr>
                <w:sz w:val="20"/>
                <w:szCs w:val="20"/>
              </w:rPr>
              <w:t>pakalpojumu</w:t>
            </w:r>
            <w:proofErr w:type="spellEnd"/>
            <w:r w:rsidRPr="005D569A">
              <w:rPr>
                <w:sz w:val="20"/>
                <w:szCs w:val="20"/>
              </w:rPr>
              <w:t xml:space="preserve"> </w:t>
            </w:r>
            <w:proofErr w:type="spellStart"/>
            <w:r w:rsidRPr="005D569A">
              <w:rPr>
                <w:sz w:val="20"/>
                <w:szCs w:val="20"/>
              </w:rPr>
              <w:t>uzskaitījumu</w:t>
            </w:r>
            <w:proofErr w:type="spellEnd"/>
            <w:r w:rsidRPr="005D569A">
              <w:rPr>
                <w:sz w:val="20"/>
                <w:szCs w:val="20"/>
              </w:rPr>
              <w:t xml:space="preserve">, </w:t>
            </w:r>
            <w:proofErr w:type="spellStart"/>
            <w:r w:rsidRPr="005D569A">
              <w:rPr>
                <w:sz w:val="20"/>
                <w:szCs w:val="20"/>
              </w:rPr>
              <w:t>kas</w:t>
            </w:r>
            <w:proofErr w:type="spellEnd"/>
            <w:r w:rsidRPr="005D569A">
              <w:rPr>
                <w:sz w:val="20"/>
                <w:szCs w:val="20"/>
              </w:rPr>
              <w:t xml:space="preserve"> </w:t>
            </w:r>
            <w:proofErr w:type="spellStart"/>
            <w:r w:rsidRPr="005D569A">
              <w:rPr>
                <w:sz w:val="20"/>
                <w:szCs w:val="20"/>
              </w:rPr>
              <w:t>nedot</w:t>
            </w:r>
            <w:proofErr w:type="spellEnd"/>
            <w:r w:rsidRPr="005D569A">
              <w:rPr>
                <w:sz w:val="20"/>
                <w:szCs w:val="20"/>
              </w:rPr>
              <w:t xml:space="preserve"> </w:t>
            </w:r>
            <w:proofErr w:type="spellStart"/>
            <w:r w:rsidRPr="005D569A">
              <w:rPr>
                <w:sz w:val="20"/>
                <w:szCs w:val="20"/>
              </w:rPr>
              <w:t>pilnīgu</w:t>
            </w:r>
            <w:proofErr w:type="spellEnd"/>
            <w:r w:rsidRPr="005D569A">
              <w:rPr>
                <w:sz w:val="20"/>
                <w:szCs w:val="20"/>
              </w:rPr>
              <w:t xml:space="preserve"> </w:t>
            </w:r>
            <w:proofErr w:type="spellStart"/>
            <w:r w:rsidRPr="005D569A">
              <w:rPr>
                <w:sz w:val="20"/>
                <w:szCs w:val="20"/>
              </w:rPr>
              <w:t>priekšstatu</w:t>
            </w:r>
            <w:proofErr w:type="spellEnd"/>
            <w:r w:rsidRPr="005D569A">
              <w:rPr>
                <w:sz w:val="20"/>
                <w:szCs w:val="20"/>
              </w:rPr>
              <w:t xml:space="preserve"> par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pakalpojuma</w:t>
            </w:r>
            <w:proofErr w:type="spellEnd"/>
            <w:r w:rsidRPr="005D569A">
              <w:rPr>
                <w:sz w:val="20"/>
                <w:szCs w:val="20"/>
              </w:rPr>
              <w:t xml:space="preserve"> </w:t>
            </w:r>
            <w:proofErr w:type="spellStart"/>
            <w:r w:rsidRPr="005D569A">
              <w:rPr>
                <w:sz w:val="20"/>
                <w:szCs w:val="20"/>
              </w:rPr>
              <w:t>plānu</w:t>
            </w:r>
            <w:proofErr w:type="spellEnd"/>
            <w:r w:rsidRPr="005D569A">
              <w:rPr>
                <w:sz w:val="20"/>
                <w:szCs w:val="20"/>
              </w:rPr>
              <w:t xml:space="preserve"> </w:t>
            </w:r>
          </w:p>
        </w:tc>
        <w:tc>
          <w:tcPr>
            <w:tcW w:w="688" w:type="pct"/>
            <w:tcBorders>
              <w:top w:val="single" w:sz="4" w:space="0" w:color="auto"/>
              <w:left w:val="single" w:sz="4" w:space="0" w:color="auto"/>
              <w:bottom w:val="single" w:sz="4" w:space="0" w:color="auto"/>
            </w:tcBorders>
            <w:shd w:val="clear" w:color="auto" w:fill="auto"/>
            <w:vAlign w:val="center"/>
          </w:tcPr>
          <w:p w:rsidR="00143CAD" w:rsidRPr="005D569A" w:rsidRDefault="00143CAD" w:rsidP="00E97112">
            <w:pPr>
              <w:widowControl w:val="0"/>
              <w:tabs>
                <w:tab w:val="left" w:pos="0"/>
              </w:tabs>
              <w:autoSpaceDE w:val="0"/>
              <w:autoSpaceDN w:val="0"/>
              <w:adjustRightInd w:val="0"/>
              <w:ind w:right="-23"/>
              <w:jc w:val="center"/>
              <w:rPr>
                <w:noProof/>
                <w:sz w:val="20"/>
                <w:szCs w:val="20"/>
              </w:rPr>
            </w:pPr>
            <w:r w:rsidRPr="005D569A">
              <w:rPr>
                <w:noProof/>
                <w:sz w:val="20"/>
                <w:szCs w:val="20"/>
              </w:rPr>
              <w:t>4</w:t>
            </w:r>
          </w:p>
        </w:tc>
        <w:tc>
          <w:tcPr>
            <w:tcW w:w="813" w:type="pct"/>
            <w:tcBorders>
              <w:top w:val="single" w:sz="4" w:space="0" w:color="auto"/>
              <w:left w:val="single" w:sz="4" w:space="0" w:color="auto"/>
              <w:bottom w:val="single" w:sz="4" w:space="0" w:color="auto"/>
            </w:tcBorders>
            <w:vAlign w:val="center"/>
          </w:tcPr>
          <w:p w:rsidR="00143CAD" w:rsidRPr="005D569A" w:rsidRDefault="00143CAD" w:rsidP="00E97112">
            <w:pPr>
              <w:widowControl w:val="0"/>
              <w:tabs>
                <w:tab w:val="left" w:pos="0"/>
              </w:tabs>
              <w:suppressAutoHyphens/>
              <w:autoSpaceDE w:val="0"/>
              <w:autoSpaceDN w:val="0"/>
              <w:adjustRightInd w:val="0"/>
              <w:ind w:right="-23"/>
              <w:jc w:val="center"/>
              <w:rPr>
                <w:noProof/>
                <w:sz w:val="20"/>
                <w:szCs w:val="20"/>
                <w:lang w:val="lv-LV"/>
              </w:rPr>
            </w:pPr>
            <w:r w:rsidRPr="005D569A">
              <w:rPr>
                <w:noProof/>
                <w:sz w:val="20"/>
                <w:szCs w:val="20"/>
                <w:lang w:val="lv-LV"/>
              </w:rPr>
              <w:t>-</w:t>
            </w:r>
          </w:p>
        </w:tc>
      </w:tr>
      <w:tr w:rsidR="00143CAD" w:rsidRPr="005D569A" w:rsidTr="00143CAD">
        <w:trPr>
          <w:trHeight w:val="417"/>
        </w:trPr>
        <w:tc>
          <w:tcPr>
            <w:tcW w:w="252" w:type="pct"/>
            <w:vMerge/>
            <w:shd w:val="clear" w:color="auto" w:fill="auto"/>
          </w:tcPr>
          <w:p w:rsidR="00143CAD" w:rsidRPr="005D569A" w:rsidRDefault="00143CAD" w:rsidP="00E97112">
            <w:pPr>
              <w:ind w:right="-57"/>
              <w:jc w:val="both"/>
              <w:rPr>
                <w:sz w:val="20"/>
                <w:szCs w:val="20"/>
                <w:lang w:val="lv-LV"/>
              </w:rPr>
            </w:pPr>
          </w:p>
        </w:tc>
        <w:tc>
          <w:tcPr>
            <w:tcW w:w="1034" w:type="pct"/>
            <w:vMerge/>
            <w:shd w:val="clear" w:color="auto" w:fill="auto"/>
          </w:tcPr>
          <w:p w:rsidR="00143CAD" w:rsidRPr="005D569A" w:rsidRDefault="00143CAD" w:rsidP="00E97112">
            <w:pPr>
              <w:widowControl w:val="0"/>
              <w:tabs>
                <w:tab w:val="left" w:pos="0"/>
              </w:tabs>
              <w:suppressAutoHyphens/>
              <w:autoSpaceDE w:val="0"/>
              <w:autoSpaceDN w:val="0"/>
              <w:adjustRightInd w:val="0"/>
              <w:ind w:right="-23"/>
              <w:jc w:val="both"/>
              <w:rPr>
                <w:noProof/>
                <w:sz w:val="20"/>
                <w:szCs w:val="20"/>
                <w:lang w:val="lv-LV"/>
              </w:rPr>
            </w:pPr>
          </w:p>
        </w:tc>
        <w:tc>
          <w:tcPr>
            <w:tcW w:w="2212" w:type="pct"/>
            <w:tcBorders>
              <w:top w:val="single" w:sz="4" w:space="0" w:color="auto"/>
              <w:bottom w:val="single" w:sz="4" w:space="0" w:color="auto"/>
              <w:right w:val="single" w:sz="4" w:space="0" w:color="auto"/>
            </w:tcBorders>
            <w:shd w:val="clear" w:color="auto" w:fill="auto"/>
          </w:tcPr>
          <w:p w:rsidR="00143CAD" w:rsidRPr="005D569A" w:rsidRDefault="00143CAD" w:rsidP="00E97112">
            <w:pPr>
              <w:widowControl w:val="0"/>
              <w:tabs>
                <w:tab w:val="left" w:pos="0"/>
              </w:tabs>
              <w:autoSpaceDE w:val="0"/>
              <w:autoSpaceDN w:val="0"/>
              <w:adjustRightInd w:val="0"/>
              <w:ind w:right="-23"/>
              <w:jc w:val="both"/>
              <w:rPr>
                <w:noProof/>
                <w:sz w:val="20"/>
                <w:szCs w:val="20"/>
              </w:rPr>
            </w:pP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tehniskajā</w:t>
            </w:r>
            <w:proofErr w:type="spellEnd"/>
            <w:r w:rsidRPr="005D569A">
              <w:rPr>
                <w:sz w:val="20"/>
                <w:szCs w:val="20"/>
              </w:rPr>
              <w:t xml:space="preserve"> </w:t>
            </w:r>
            <w:proofErr w:type="spellStart"/>
            <w:r w:rsidRPr="005D569A">
              <w:rPr>
                <w:sz w:val="20"/>
                <w:szCs w:val="20"/>
              </w:rPr>
              <w:t>piedāvājumā</w:t>
            </w:r>
            <w:proofErr w:type="spellEnd"/>
            <w:r w:rsidRPr="005D569A">
              <w:rPr>
                <w:sz w:val="20"/>
                <w:szCs w:val="20"/>
              </w:rPr>
              <w:t xml:space="preserve"> </w:t>
            </w:r>
            <w:proofErr w:type="spellStart"/>
            <w:r w:rsidRPr="005D569A">
              <w:rPr>
                <w:sz w:val="20"/>
                <w:szCs w:val="20"/>
              </w:rPr>
              <w:t>ietvēris</w:t>
            </w:r>
            <w:proofErr w:type="spellEnd"/>
            <w:r w:rsidRPr="005D569A">
              <w:rPr>
                <w:sz w:val="20"/>
                <w:szCs w:val="20"/>
              </w:rPr>
              <w:t xml:space="preserve"> </w:t>
            </w:r>
            <w:proofErr w:type="spellStart"/>
            <w:r w:rsidRPr="005D569A">
              <w:rPr>
                <w:sz w:val="20"/>
                <w:szCs w:val="20"/>
              </w:rPr>
              <w:t>minimālu</w:t>
            </w:r>
            <w:proofErr w:type="spellEnd"/>
            <w:r w:rsidRPr="005D569A">
              <w:rPr>
                <w:sz w:val="20"/>
                <w:szCs w:val="20"/>
              </w:rPr>
              <w:t xml:space="preserve"> </w:t>
            </w:r>
            <w:proofErr w:type="spellStart"/>
            <w:r w:rsidRPr="005D569A">
              <w:rPr>
                <w:sz w:val="20"/>
                <w:szCs w:val="20"/>
              </w:rPr>
              <w:t>sniedzamo</w:t>
            </w:r>
            <w:proofErr w:type="spellEnd"/>
            <w:r w:rsidRPr="005D569A">
              <w:rPr>
                <w:sz w:val="20"/>
                <w:szCs w:val="20"/>
              </w:rPr>
              <w:t xml:space="preserve"> </w:t>
            </w:r>
            <w:proofErr w:type="spellStart"/>
            <w:r w:rsidRPr="005D569A">
              <w:rPr>
                <w:sz w:val="20"/>
                <w:szCs w:val="20"/>
              </w:rPr>
              <w:t>pakalpojumu</w:t>
            </w:r>
            <w:proofErr w:type="spellEnd"/>
            <w:r w:rsidRPr="005D569A">
              <w:rPr>
                <w:sz w:val="20"/>
                <w:szCs w:val="20"/>
              </w:rPr>
              <w:t xml:space="preserve"> </w:t>
            </w:r>
            <w:proofErr w:type="spellStart"/>
            <w:r w:rsidRPr="005D569A">
              <w:rPr>
                <w:sz w:val="20"/>
                <w:szCs w:val="20"/>
              </w:rPr>
              <w:t>laika</w:t>
            </w:r>
            <w:proofErr w:type="spellEnd"/>
            <w:r w:rsidRPr="005D569A">
              <w:rPr>
                <w:sz w:val="20"/>
                <w:szCs w:val="20"/>
              </w:rPr>
              <w:t xml:space="preserve"> </w:t>
            </w:r>
            <w:proofErr w:type="spellStart"/>
            <w:r w:rsidRPr="005D569A">
              <w:rPr>
                <w:sz w:val="20"/>
                <w:szCs w:val="20"/>
              </w:rPr>
              <w:t>grafiku</w:t>
            </w:r>
            <w:proofErr w:type="spellEnd"/>
            <w:r w:rsidRPr="005D569A">
              <w:rPr>
                <w:sz w:val="20"/>
                <w:szCs w:val="20"/>
              </w:rPr>
              <w:t xml:space="preserve">, </w:t>
            </w:r>
            <w:proofErr w:type="spellStart"/>
            <w:r w:rsidRPr="005D569A">
              <w:rPr>
                <w:sz w:val="20"/>
                <w:szCs w:val="20"/>
              </w:rPr>
              <w:t>kas</w:t>
            </w:r>
            <w:proofErr w:type="spellEnd"/>
            <w:r w:rsidRPr="005D569A">
              <w:rPr>
                <w:sz w:val="20"/>
                <w:szCs w:val="20"/>
              </w:rPr>
              <w:t xml:space="preserve"> </w:t>
            </w:r>
            <w:proofErr w:type="spellStart"/>
            <w:r w:rsidRPr="005D569A">
              <w:rPr>
                <w:sz w:val="20"/>
                <w:szCs w:val="20"/>
              </w:rPr>
              <w:t>nedot</w:t>
            </w:r>
            <w:proofErr w:type="spellEnd"/>
            <w:r w:rsidRPr="005D569A">
              <w:rPr>
                <w:sz w:val="20"/>
                <w:szCs w:val="20"/>
              </w:rPr>
              <w:t xml:space="preserve"> </w:t>
            </w:r>
            <w:proofErr w:type="spellStart"/>
            <w:r w:rsidRPr="005D569A">
              <w:rPr>
                <w:sz w:val="20"/>
                <w:szCs w:val="20"/>
              </w:rPr>
              <w:t>priekšstatu</w:t>
            </w:r>
            <w:proofErr w:type="spellEnd"/>
            <w:r w:rsidRPr="005D569A">
              <w:rPr>
                <w:sz w:val="20"/>
                <w:szCs w:val="20"/>
              </w:rPr>
              <w:t xml:space="preserve"> par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pakalpojuma</w:t>
            </w:r>
            <w:proofErr w:type="spellEnd"/>
            <w:r w:rsidRPr="005D569A">
              <w:rPr>
                <w:sz w:val="20"/>
                <w:szCs w:val="20"/>
              </w:rPr>
              <w:t xml:space="preserve"> </w:t>
            </w:r>
            <w:proofErr w:type="spellStart"/>
            <w:r w:rsidRPr="005D569A">
              <w:rPr>
                <w:sz w:val="20"/>
                <w:szCs w:val="20"/>
              </w:rPr>
              <w:t>plānu</w:t>
            </w:r>
            <w:proofErr w:type="spellEnd"/>
            <w:r w:rsidRPr="005D569A">
              <w:rPr>
                <w:sz w:val="20"/>
                <w:szCs w:val="20"/>
              </w:rPr>
              <w:t xml:space="preserve"> </w:t>
            </w:r>
          </w:p>
        </w:tc>
        <w:tc>
          <w:tcPr>
            <w:tcW w:w="688" w:type="pct"/>
            <w:tcBorders>
              <w:top w:val="single" w:sz="4" w:space="0" w:color="auto"/>
              <w:left w:val="single" w:sz="4" w:space="0" w:color="auto"/>
              <w:bottom w:val="single" w:sz="4" w:space="0" w:color="auto"/>
            </w:tcBorders>
            <w:shd w:val="clear" w:color="auto" w:fill="auto"/>
            <w:vAlign w:val="center"/>
          </w:tcPr>
          <w:p w:rsidR="00143CAD" w:rsidRPr="005D569A" w:rsidRDefault="00143CAD" w:rsidP="00E97112">
            <w:pPr>
              <w:widowControl w:val="0"/>
              <w:tabs>
                <w:tab w:val="left" w:pos="0"/>
              </w:tabs>
              <w:autoSpaceDE w:val="0"/>
              <w:autoSpaceDN w:val="0"/>
              <w:adjustRightInd w:val="0"/>
              <w:ind w:right="-23"/>
              <w:jc w:val="center"/>
              <w:rPr>
                <w:noProof/>
                <w:sz w:val="20"/>
                <w:szCs w:val="20"/>
              </w:rPr>
            </w:pPr>
            <w:r w:rsidRPr="005D569A">
              <w:rPr>
                <w:noProof/>
                <w:sz w:val="20"/>
                <w:szCs w:val="20"/>
              </w:rPr>
              <w:t>1</w:t>
            </w:r>
          </w:p>
        </w:tc>
        <w:tc>
          <w:tcPr>
            <w:tcW w:w="813" w:type="pct"/>
            <w:tcBorders>
              <w:top w:val="single" w:sz="4" w:space="0" w:color="auto"/>
              <w:left w:val="single" w:sz="4" w:space="0" w:color="auto"/>
              <w:bottom w:val="single" w:sz="4" w:space="0" w:color="auto"/>
            </w:tcBorders>
            <w:vAlign w:val="center"/>
          </w:tcPr>
          <w:p w:rsidR="00143CAD" w:rsidRPr="005D569A" w:rsidRDefault="00143CAD" w:rsidP="00E97112">
            <w:pPr>
              <w:widowControl w:val="0"/>
              <w:tabs>
                <w:tab w:val="left" w:pos="0"/>
              </w:tabs>
              <w:suppressAutoHyphens/>
              <w:autoSpaceDE w:val="0"/>
              <w:autoSpaceDN w:val="0"/>
              <w:adjustRightInd w:val="0"/>
              <w:ind w:right="-23"/>
              <w:jc w:val="center"/>
              <w:rPr>
                <w:noProof/>
                <w:sz w:val="20"/>
                <w:szCs w:val="20"/>
                <w:lang w:val="lv-LV"/>
              </w:rPr>
            </w:pPr>
            <w:r w:rsidRPr="005D569A">
              <w:rPr>
                <w:noProof/>
                <w:sz w:val="20"/>
                <w:szCs w:val="20"/>
                <w:lang w:val="lv-LV"/>
              </w:rPr>
              <w:t>-</w:t>
            </w:r>
          </w:p>
        </w:tc>
      </w:tr>
      <w:tr w:rsidR="00143CAD" w:rsidRPr="005D569A" w:rsidTr="00143CAD">
        <w:trPr>
          <w:trHeight w:val="284"/>
        </w:trPr>
        <w:tc>
          <w:tcPr>
            <w:tcW w:w="252" w:type="pct"/>
            <w:vMerge/>
            <w:shd w:val="clear" w:color="auto" w:fill="auto"/>
          </w:tcPr>
          <w:p w:rsidR="00143CAD" w:rsidRPr="005D569A" w:rsidRDefault="00143CAD" w:rsidP="00E97112">
            <w:pPr>
              <w:ind w:right="-57"/>
              <w:jc w:val="both"/>
              <w:rPr>
                <w:sz w:val="20"/>
                <w:szCs w:val="20"/>
                <w:lang w:val="lv-LV"/>
              </w:rPr>
            </w:pPr>
          </w:p>
        </w:tc>
        <w:tc>
          <w:tcPr>
            <w:tcW w:w="1034" w:type="pct"/>
            <w:vMerge/>
            <w:shd w:val="clear" w:color="auto" w:fill="auto"/>
          </w:tcPr>
          <w:p w:rsidR="00143CAD" w:rsidRPr="005D569A" w:rsidRDefault="00143CAD" w:rsidP="00E97112">
            <w:pPr>
              <w:widowControl w:val="0"/>
              <w:tabs>
                <w:tab w:val="left" w:pos="0"/>
              </w:tabs>
              <w:suppressAutoHyphens/>
              <w:autoSpaceDE w:val="0"/>
              <w:autoSpaceDN w:val="0"/>
              <w:adjustRightInd w:val="0"/>
              <w:ind w:right="-23"/>
              <w:jc w:val="both"/>
              <w:rPr>
                <w:noProof/>
                <w:sz w:val="20"/>
                <w:szCs w:val="20"/>
                <w:lang w:val="lv-LV"/>
              </w:rPr>
            </w:pPr>
          </w:p>
        </w:tc>
        <w:tc>
          <w:tcPr>
            <w:tcW w:w="2212" w:type="pct"/>
            <w:tcBorders>
              <w:top w:val="single" w:sz="4" w:space="0" w:color="auto"/>
              <w:right w:val="single" w:sz="4" w:space="0" w:color="auto"/>
            </w:tcBorders>
            <w:shd w:val="clear" w:color="auto" w:fill="auto"/>
          </w:tcPr>
          <w:p w:rsidR="00143CAD" w:rsidRPr="005D569A" w:rsidRDefault="00143CAD" w:rsidP="00E97112">
            <w:pPr>
              <w:widowControl w:val="0"/>
              <w:tabs>
                <w:tab w:val="left" w:pos="0"/>
              </w:tabs>
              <w:autoSpaceDE w:val="0"/>
              <w:autoSpaceDN w:val="0"/>
              <w:adjustRightInd w:val="0"/>
              <w:ind w:right="-23"/>
              <w:jc w:val="both"/>
              <w:rPr>
                <w:sz w:val="20"/>
                <w:szCs w:val="20"/>
              </w:rPr>
            </w:pPr>
            <w:r w:rsidRPr="005D569A">
              <w:rPr>
                <w:sz w:val="20"/>
                <w:szCs w:val="20"/>
              </w:rPr>
              <w:t xml:space="preserve"> </w:t>
            </w:r>
            <w:proofErr w:type="spellStart"/>
            <w:r w:rsidRPr="005D569A">
              <w:rPr>
                <w:sz w:val="20"/>
                <w:szCs w:val="20"/>
              </w:rPr>
              <w:t>Pretendents</w:t>
            </w:r>
            <w:proofErr w:type="spellEnd"/>
            <w:r w:rsidRPr="005D569A">
              <w:rPr>
                <w:sz w:val="20"/>
                <w:szCs w:val="20"/>
              </w:rPr>
              <w:t xml:space="preserve"> </w:t>
            </w:r>
            <w:proofErr w:type="spellStart"/>
            <w:r w:rsidRPr="005D569A">
              <w:rPr>
                <w:sz w:val="20"/>
                <w:szCs w:val="20"/>
              </w:rPr>
              <w:t>nav</w:t>
            </w:r>
            <w:proofErr w:type="spellEnd"/>
            <w:r w:rsidRPr="005D569A">
              <w:rPr>
                <w:sz w:val="20"/>
                <w:szCs w:val="20"/>
              </w:rPr>
              <w:t xml:space="preserve"> </w:t>
            </w:r>
            <w:proofErr w:type="spellStart"/>
            <w:r w:rsidRPr="005D569A">
              <w:rPr>
                <w:sz w:val="20"/>
                <w:szCs w:val="20"/>
              </w:rPr>
              <w:t>iesniedzis</w:t>
            </w:r>
            <w:proofErr w:type="spellEnd"/>
            <w:r w:rsidRPr="005D569A">
              <w:rPr>
                <w:sz w:val="20"/>
                <w:szCs w:val="20"/>
              </w:rPr>
              <w:t xml:space="preserve"> </w:t>
            </w:r>
            <w:proofErr w:type="spellStart"/>
            <w:r w:rsidRPr="005D569A">
              <w:rPr>
                <w:sz w:val="20"/>
                <w:szCs w:val="20"/>
              </w:rPr>
              <w:t>revīzijas</w:t>
            </w:r>
            <w:proofErr w:type="spellEnd"/>
            <w:r w:rsidRPr="005D569A">
              <w:rPr>
                <w:sz w:val="20"/>
                <w:szCs w:val="20"/>
              </w:rPr>
              <w:t xml:space="preserve"> </w:t>
            </w:r>
            <w:proofErr w:type="spellStart"/>
            <w:r w:rsidRPr="005D569A">
              <w:rPr>
                <w:sz w:val="20"/>
                <w:szCs w:val="20"/>
              </w:rPr>
              <w:t>laika</w:t>
            </w:r>
            <w:proofErr w:type="spellEnd"/>
            <w:r w:rsidRPr="005D569A">
              <w:rPr>
                <w:sz w:val="20"/>
                <w:szCs w:val="20"/>
              </w:rPr>
              <w:t xml:space="preserve"> </w:t>
            </w:r>
            <w:proofErr w:type="spellStart"/>
            <w:r w:rsidRPr="005D569A">
              <w:rPr>
                <w:sz w:val="20"/>
                <w:szCs w:val="20"/>
              </w:rPr>
              <w:t>grafiku</w:t>
            </w:r>
            <w:proofErr w:type="spellEnd"/>
          </w:p>
        </w:tc>
        <w:tc>
          <w:tcPr>
            <w:tcW w:w="688" w:type="pct"/>
            <w:tcBorders>
              <w:top w:val="single" w:sz="4" w:space="0" w:color="auto"/>
              <w:left w:val="single" w:sz="4" w:space="0" w:color="auto"/>
            </w:tcBorders>
            <w:shd w:val="clear" w:color="auto" w:fill="auto"/>
            <w:vAlign w:val="center"/>
          </w:tcPr>
          <w:p w:rsidR="00143CAD" w:rsidRPr="005D569A" w:rsidRDefault="00143CAD" w:rsidP="00E97112">
            <w:pPr>
              <w:widowControl w:val="0"/>
              <w:tabs>
                <w:tab w:val="left" w:pos="0"/>
              </w:tabs>
              <w:autoSpaceDE w:val="0"/>
              <w:autoSpaceDN w:val="0"/>
              <w:adjustRightInd w:val="0"/>
              <w:ind w:right="-23"/>
              <w:jc w:val="center"/>
              <w:rPr>
                <w:noProof/>
                <w:sz w:val="20"/>
                <w:szCs w:val="20"/>
              </w:rPr>
            </w:pPr>
            <w:r w:rsidRPr="005D569A">
              <w:rPr>
                <w:noProof/>
                <w:sz w:val="20"/>
                <w:szCs w:val="20"/>
              </w:rPr>
              <w:t>0</w:t>
            </w:r>
          </w:p>
        </w:tc>
        <w:tc>
          <w:tcPr>
            <w:tcW w:w="813" w:type="pct"/>
            <w:tcBorders>
              <w:top w:val="single" w:sz="4" w:space="0" w:color="auto"/>
              <w:left w:val="single" w:sz="4" w:space="0" w:color="auto"/>
            </w:tcBorders>
            <w:vAlign w:val="center"/>
          </w:tcPr>
          <w:p w:rsidR="00143CAD" w:rsidRPr="005D569A" w:rsidRDefault="00143CAD" w:rsidP="00E97112">
            <w:pPr>
              <w:widowControl w:val="0"/>
              <w:tabs>
                <w:tab w:val="left" w:pos="0"/>
              </w:tabs>
              <w:suppressAutoHyphens/>
              <w:autoSpaceDE w:val="0"/>
              <w:autoSpaceDN w:val="0"/>
              <w:adjustRightInd w:val="0"/>
              <w:ind w:right="-23"/>
              <w:jc w:val="center"/>
              <w:rPr>
                <w:noProof/>
                <w:sz w:val="20"/>
                <w:szCs w:val="20"/>
                <w:lang w:val="lv-LV"/>
              </w:rPr>
            </w:pPr>
            <w:r w:rsidRPr="005D569A">
              <w:rPr>
                <w:noProof/>
                <w:sz w:val="20"/>
                <w:szCs w:val="20"/>
                <w:lang w:val="lv-LV"/>
              </w:rPr>
              <w:t>-</w:t>
            </w:r>
          </w:p>
        </w:tc>
      </w:tr>
      <w:tr w:rsidR="00143CAD" w:rsidRPr="005D569A" w:rsidTr="00143CAD">
        <w:trPr>
          <w:trHeight w:val="160"/>
        </w:trPr>
        <w:tc>
          <w:tcPr>
            <w:tcW w:w="4187" w:type="pct"/>
            <w:gridSpan w:val="4"/>
            <w:shd w:val="clear" w:color="auto" w:fill="auto"/>
          </w:tcPr>
          <w:p w:rsidR="00143CAD" w:rsidRPr="005D569A" w:rsidRDefault="00143CAD" w:rsidP="00E97112">
            <w:pPr>
              <w:widowControl w:val="0"/>
              <w:tabs>
                <w:tab w:val="left" w:pos="0"/>
              </w:tabs>
              <w:suppressAutoHyphens/>
              <w:autoSpaceDE w:val="0"/>
              <w:autoSpaceDN w:val="0"/>
              <w:adjustRightInd w:val="0"/>
              <w:ind w:right="-23"/>
              <w:jc w:val="center"/>
              <w:rPr>
                <w:noProof/>
                <w:sz w:val="20"/>
                <w:szCs w:val="20"/>
                <w:lang w:val="lv-LV"/>
              </w:rPr>
            </w:pPr>
            <w:r w:rsidRPr="005D569A">
              <w:rPr>
                <w:sz w:val="20"/>
                <w:szCs w:val="20"/>
                <w:lang w:val="lv-LV"/>
              </w:rPr>
              <w:t>Kopā</w:t>
            </w:r>
          </w:p>
        </w:tc>
        <w:tc>
          <w:tcPr>
            <w:tcW w:w="813" w:type="pct"/>
            <w:tcBorders>
              <w:top w:val="single" w:sz="4" w:space="0" w:color="auto"/>
              <w:left w:val="single" w:sz="4" w:space="0" w:color="auto"/>
            </w:tcBorders>
            <w:vAlign w:val="center"/>
          </w:tcPr>
          <w:p w:rsidR="00143CAD" w:rsidRPr="005D569A" w:rsidRDefault="00143CAD" w:rsidP="00E97112">
            <w:pPr>
              <w:widowControl w:val="0"/>
              <w:tabs>
                <w:tab w:val="left" w:pos="0"/>
              </w:tabs>
              <w:suppressAutoHyphens/>
              <w:autoSpaceDE w:val="0"/>
              <w:autoSpaceDN w:val="0"/>
              <w:adjustRightInd w:val="0"/>
              <w:ind w:right="-23"/>
              <w:jc w:val="center"/>
              <w:rPr>
                <w:noProof/>
                <w:sz w:val="20"/>
                <w:szCs w:val="20"/>
                <w:lang w:val="lv-LV"/>
              </w:rPr>
            </w:pPr>
            <w:r w:rsidRPr="005D569A">
              <w:rPr>
                <w:noProof/>
                <w:sz w:val="20"/>
                <w:szCs w:val="20"/>
                <w:lang w:val="lv-LV"/>
              </w:rPr>
              <w:t>30</w:t>
            </w:r>
          </w:p>
        </w:tc>
      </w:tr>
    </w:tbl>
    <w:p w:rsidR="00127137" w:rsidRPr="005D569A" w:rsidRDefault="00143CAD" w:rsidP="00127137">
      <w:pPr>
        <w:pStyle w:val="BodyTextIndent"/>
        <w:numPr>
          <w:ilvl w:val="0"/>
          <w:numId w:val="39"/>
        </w:numPr>
        <w:spacing w:before="120" w:after="80"/>
        <w:rPr>
          <w:sz w:val="23"/>
          <w:szCs w:val="23"/>
        </w:rPr>
      </w:pPr>
      <w:r w:rsidRPr="005D569A">
        <w:rPr>
          <w:sz w:val="23"/>
          <w:szCs w:val="23"/>
        </w:rPr>
        <w:t>2016.gada 26.septembra sēdē (prot Nr.3), komisija veica pretendenta skaitlisko novērtēšanu kritērijam  „Piedāvātā līgumcena”. Vienīgais pretendents</w:t>
      </w:r>
      <w:r w:rsidR="000C637D" w:rsidRPr="000C637D">
        <w:rPr>
          <w:sz w:val="23"/>
          <w:szCs w:val="23"/>
        </w:rPr>
        <w:t xml:space="preserve"> </w:t>
      </w:r>
      <w:r w:rsidR="000C637D" w:rsidRPr="005D569A">
        <w:rPr>
          <w:sz w:val="23"/>
          <w:szCs w:val="23"/>
        </w:rPr>
        <w:t>SIA “</w:t>
      </w:r>
      <w:proofErr w:type="spellStart"/>
      <w:r w:rsidR="000C637D" w:rsidRPr="005D569A">
        <w:rPr>
          <w:sz w:val="23"/>
          <w:szCs w:val="23"/>
        </w:rPr>
        <w:t>Deloitte</w:t>
      </w:r>
      <w:proofErr w:type="spellEnd"/>
      <w:r w:rsidR="000C637D" w:rsidRPr="005D569A">
        <w:rPr>
          <w:sz w:val="23"/>
          <w:szCs w:val="23"/>
        </w:rPr>
        <w:t xml:space="preserve"> Audits Latvia”</w:t>
      </w:r>
      <w:r w:rsidR="000C637D">
        <w:rPr>
          <w:sz w:val="23"/>
          <w:szCs w:val="23"/>
        </w:rPr>
        <w:t xml:space="preserve"> ieguva maksimā</w:t>
      </w:r>
      <w:r w:rsidRPr="005D569A">
        <w:rPr>
          <w:sz w:val="23"/>
          <w:szCs w:val="23"/>
        </w:rPr>
        <w:t>lo punktu skaitu:</w:t>
      </w:r>
      <w:r w:rsidR="00127137" w:rsidRPr="005D569A">
        <w:rPr>
          <w:sz w:val="23"/>
          <w:szCs w:val="23"/>
        </w:rPr>
        <w:t xml:space="preserve"> 26400 / 26400 *70 = 70 punkti.</w:t>
      </w:r>
    </w:p>
    <w:p w:rsidR="00127137" w:rsidRPr="005D569A" w:rsidRDefault="00127137" w:rsidP="00127137">
      <w:pPr>
        <w:pStyle w:val="BodyTextIndent"/>
        <w:numPr>
          <w:ilvl w:val="0"/>
          <w:numId w:val="39"/>
        </w:numPr>
        <w:spacing w:before="120" w:after="80"/>
        <w:rPr>
          <w:sz w:val="23"/>
          <w:szCs w:val="23"/>
        </w:rPr>
      </w:pPr>
      <w:r w:rsidRPr="005D569A">
        <w:rPr>
          <w:sz w:val="23"/>
          <w:szCs w:val="23"/>
        </w:rPr>
        <w:t>Summējot pretendenta SIA “</w:t>
      </w:r>
      <w:proofErr w:type="spellStart"/>
      <w:r w:rsidRPr="005D569A">
        <w:rPr>
          <w:sz w:val="23"/>
          <w:szCs w:val="23"/>
        </w:rPr>
        <w:t>Deloitte</w:t>
      </w:r>
      <w:proofErr w:type="spellEnd"/>
      <w:r w:rsidRPr="005D569A">
        <w:rPr>
          <w:sz w:val="23"/>
          <w:szCs w:val="23"/>
        </w:rPr>
        <w:t xml:space="preserve"> Audits Latvia” skaitlisko novērtējumu kritērijam „Revīzijas procesa organizācija, kvalitāte un efektivitāte” un kritērijam „Piedāvātā līgumcena”, </w:t>
      </w:r>
      <w:r w:rsidR="00183059">
        <w:rPr>
          <w:sz w:val="23"/>
          <w:szCs w:val="23"/>
        </w:rPr>
        <w:t>pretendents ieguva</w:t>
      </w:r>
      <w:r w:rsidRPr="005D569A">
        <w:rPr>
          <w:sz w:val="23"/>
          <w:szCs w:val="23"/>
        </w:rPr>
        <w:t xml:space="preserve"> šādu kopējo skaitlisko novērtējumu: 30 + 70 = </w:t>
      </w:r>
      <w:r w:rsidRPr="005D569A">
        <w:rPr>
          <w:b/>
          <w:sz w:val="23"/>
          <w:szCs w:val="23"/>
        </w:rPr>
        <w:t>100 punkti.</w:t>
      </w:r>
    </w:p>
    <w:p w:rsidR="00C608EC" w:rsidRPr="005D569A" w:rsidRDefault="00127137" w:rsidP="00C608EC">
      <w:pPr>
        <w:pStyle w:val="BodyTextIndent"/>
        <w:numPr>
          <w:ilvl w:val="0"/>
          <w:numId w:val="39"/>
        </w:numPr>
        <w:spacing w:after="80"/>
        <w:rPr>
          <w:sz w:val="23"/>
          <w:szCs w:val="23"/>
        </w:rPr>
      </w:pPr>
      <w:r w:rsidRPr="005D569A">
        <w:rPr>
          <w:sz w:val="23"/>
          <w:szCs w:val="23"/>
        </w:rPr>
        <w:t>2016.gada 26</w:t>
      </w:r>
      <w:r w:rsidR="00C608EC" w:rsidRPr="005D569A">
        <w:rPr>
          <w:sz w:val="23"/>
          <w:szCs w:val="23"/>
        </w:rPr>
        <w:t>.septembra sēdē (prot.Nr.</w:t>
      </w:r>
      <w:r w:rsidRPr="005D569A">
        <w:rPr>
          <w:sz w:val="23"/>
          <w:szCs w:val="23"/>
        </w:rPr>
        <w:t>3</w:t>
      </w:r>
      <w:r w:rsidR="00C608EC" w:rsidRPr="005D569A">
        <w:rPr>
          <w:sz w:val="23"/>
          <w:szCs w:val="23"/>
        </w:rPr>
        <w:t xml:space="preserve">) </w:t>
      </w:r>
      <w:r w:rsidR="00C608EC" w:rsidRPr="005D569A">
        <w:rPr>
          <w:bCs/>
          <w:sz w:val="23"/>
          <w:szCs w:val="23"/>
        </w:rPr>
        <w:t xml:space="preserve">komisija nolēma </w:t>
      </w:r>
      <w:r w:rsidRPr="005D569A">
        <w:rPr>
          <w:sz w:val="23"/>
          <w:szCs w:val="23"/>
        </w:rPr>
        <w:t>atzīt SIA “</w:t>
      </w:r>
      <w:proofErr w:type="spellStart"/>
      <w:r w:rsidRPr="005D569A">
        <w:rPr>
          <w:sz w:val="23"/>
          <w:szCs w:val="23"/>
        </w:rPr>
        <w:t>Deloitte</w:t>
      </w:r>
      <w:proofErr w:type="spellEnd"/>
      <w:r w:rsidRPr="005D569A">
        <w:rPr>
          <w:sz w:val="23"/>
          <w:szCs w:val="23"/>
        </w:rPr>
        <w:t xml:space="preserve"> Audits Latvia”, reģ.Nr.40003606960, juridiskā adrese: Grēdu iela 4A, Rīga, par pretendentu, kuram atbilstoši piedāvājuma izvēles kritērijam būtu piešķiramas līguma slēgšanas tiesības iepirkumā “</w:t>
      </w:r>
      <w:r w:rsidRPr="005D569A">
        <w:rPr>
          <w:bCs/>
          <w:sz w:val="23"/>
          <w:szCs w:val="23"/>
        </w:rPr>
        <w:t>Revīzijas veikšana un zvērināta revidenta ziņojuma sniegšana par Daugavpils pilsētas pašvaldības 2016.gada konsolidēto pārskatu</w:t>
      </w:r>
      <w:r w:rsidRPr="005D569A">
        <w:rPr>
          <w:sz w:val="23"/>
          <w:szCs w:val="23"/>
        </w:rPr>
        <w:t xml:space="preserve">”, identifikācijas numurs DPD 2016/162 </w:t>
      </w:r>
      <w:r w:rsidR="00C608EC" w:rsidRPr="005D569A">
        <w:rPr>
          <w:sz w:val="23"/>
          <w:szCs w:val="23"/>
        </w:rPr>
        <w:t xml:space="preserve">un </w:t>
      </w:r>
      <w:r w:rsidR="00C608EC" w:rsidRPr="005D569A">
        <w:rPr>
          <w:iCs/>
          <w:sz w:val="23"/>
          <w:szCs w:val="23"/>
        </w:rPr>
        <w:t>pārbaudīt Publisko iepirkumu likuma 8.</w:t>
      </w:r>
      <w:r w:rsidR="00C608EC" w:rsidRPr="005D569A">
        <w:rPr>
          <w:iCs/>
          <w:sz w:val="23"/>
          <w:szCs w:val="23"/>
          <w:vertAlign w:val="superscript"/>
        </w:rPr>
        <w:t>2</w:t>
      </w:r>
      <w:r w:rsidR="00C608EC" w:rsidRPr="005D569A">
        <w:rPr>
          <w:iCs/>
          <w:sz w:val="23"/>
          <w:szCs w:val="23"/>
        </w:rPr>
        <w:t xml:space="preserve"> panta piektajā daļā minēto apstākļu esamību attiecībā uz pretendentu.</w:t>
      </w:r>
    </w:p>
    <w:p w:rsidR="00C608EC" w:rsidRPr="005D569A" w:rsidRDefault="00C608EC" w:rsidP="00C608EC">
      <w:pPr>
        <w:pStyle w:val="BodyTextIndent"/>
        <w:numPr>
          <w:ilvl w:val="0"/>
          <w:numId w:val="39"/>
        </w:numPr>
        <w:spacing w:after="80"/>
        <w:rPr>
          <w:sz w:val="23"/>
          <w:szCs w:val="23"/>
        </w:rPr>
      </w:pPr>
      <w:r w:rsidRPr="005D569A">
        <w:rPr>
          <w:sz w:val="23"/>
          <w:szCs w:val="23"/>
        </w:rPr>
        <w:t>Komisijas loceklis J.Bārtuls ziņo, ka atbilstoši e-izziņām pretendentam</w:t>
      </w:r>
      <w:r w:rsidRPr="005D569A">
        <w:rPr>
          <w:color w:val="000000"/>
          <w:sz w:val="23"/>
          <w:szCs w:val="23"/>
        </w:rPr>
        <w:t xml:space="preserve"> </w:t>
      </w:r>
      <w:r w:rsidR="00127137" w:rsidRPr="005D569A">
        <w:rPr>
          <w:sz w:val="23"/>
          <w:szCs w:val="23"/>
        </w:rPr>
        <w:t>SIA “</w:t>
      </w:r>
      <w:proofErr w:type="spellStart"/>
      <w:r w:rsidR="00127137" w:rsidRPr="005D569A">
        <w:rPr>
          <w:sz w:val="23"/>
          <w:szCs w:val="23"/>
        </w:rPr>
        <w:t>Deloitte</w:t>
      </w:r>
      <w:proofErr w:type="spellEnd"/>
      <w:r w:rsidR="00127137" w:rsidRPr="005D569A">
        <w:rPr>
          <w:sz w:val="23"/>
          <w:szCs w:val="23"/>
        </w:rPr>
        <w:t xml:space="preserve"> Audits Latvia”</w:t>
      </w:r>
      <w:r w:rsidRPr="005D569A">
        <w:rPr>
          <w:color w:val="000000"/>
          <w:sz w:val="23"/>
          <w:szCs w:val="23"/>
        </w:rPr>
        <w:t xml:space="preserve"> </w:t>
      </w:r>
      <w:r w:rsidRPr="005D569A">
        <w:rPr>
          <w:sz w:val="23"/>
          <w:szCs w:val="23"/>
        </w:rPr>
        <w:t xml:space="preserve">nav informācijas par aktuāliem maksātnespējas, likvidācijas procesiem un pārtrauktu saimniecisko darbību, kā arī uz iepirkuma izsludināšanas dienu un dienu, kad pieņemts lēmums par iespējamu līguma slēgšanas tiesību piešķiršanu, nav aktuālu nodokļa parādu, kas pārsniedz 150 </w:t>
      </w:r>
      <w:r w:rsidRPr="005D569A">
        <w:rPr>
          <w:i/>
          <w:sz w:val="23"/>
          <w:szCs w:val="23"/>
        </w:rPr>
        <w:t>euro</w:t>
      </w:r>
      <w:r w:rsidRPr="005D569A">
        <w:rPr>
          <w:color w:val="000000"/>
          <w:sz w:val="23"/>
          <w:szCs w:val="23"/>
        </w:rPr>
        <w:t>.</w:t>
      </w:r>
      <w:r w:rsidRPr="005D569A">
        <w:rPr>
          <w:sz w:val="23"/>
          <w:szCs w:val="23"/>
        </w:rPr>
        <w:t xml:space="preserve"> Komisijas locekļi izskata e-izziņas un konstatē, ka attiecībā uz pretendentu – </w:t>
      </w:r>
      <w:r w:rsidR="00127137" w:rsidRPr="005D569A">
        <w:rPr>
          <w:sz w:val="23"/>
          <w:szCs w:val="23"/>
        </w:rPr>
        <w:t>SIA “</w:t>
      </w:r>
      <w:proofErr w:type="spellStart"/>
      <w:r w:rsidR="00127137" w:rsidRPr="005D569A">
        <w:rPr>
          <w:sz w:val="23"/>
          <w:szCs w:val="23"/>
        </w:rPr>
        <w:t>Deloitte</w:t>
      </w:r>
      <w:proofErr w:type="spellEnd"/>
      <w:r w:rsidR="00127137" w:rsidRPr="005D569A">
        <w:rPr>
          <w:sz w:val="23"/>
          <w:szCs w:val="23"/>
        </w:rPr>
        <w:t xml:space="preserve"> Audits Latvia”</w:t>
      </w:r>
      <w:r w:rsidRPr="005D569A">
        <w:rPr>
          <w:sz w:val="23"/>
          <w:szCs w:val="23"/>
        </w:rPr>
        <w:t xml:space="preserve"> </w:t>
      </w:r>
      <w:r w:rsidRPr="005D569A">
        <w:rPr>
          <w:bCs/>
          <w:sz w:val="23"/>
          <w:szCs w:val="23"/>
        </w:rPr>
        <w:t xml:space="preserve">nepastāv Publisko iepirkumu likuma </w:t>
      </w:r>
      <w:r w:rsidRPr="005D569A">
        <w:rPr>
          <w:bCs/>
          <w:iCs/>
          <w:sz w:val="23"/>
          <w:szCs w:val="23"/>
        </w:rPr>
        <w:t>8.</w:t>
      </w:r>
      <w:r w:rsidRPr="005D569A">
        <w:rPr>
          <w:bCs/>
          <w:iCs/>
          <w:sz w:val="23"/>
          <w:szCs w:val="23"/>
          <w:vertAlign w:val="superscript"/>
        </w:rPr>
        <w:t>2</w:t>
      </w:r>
      <w:r w:rsidRPr="005D569A">
        <w:rPr>
          <w:bCs/>
          <w:iCs/>
          <w:sz w:val="23"/>
          <w:szCs w:val="23"/>
        </w:rPr>
        <w:t xml:space="preserve"> panta </w:t>
      </w:r>
      <w:r w:rsidRPr="005D569A">
        <w:rPr>
          <w:sz w:val="23"/>
          <w:szCs w:val="23"/>
        </w:rPr>
        <w:t>piektajā</w:t>
      </w:r>
      <w:r w:rsidRPr="005D569A">
        <w:rPr>
          <w:bCs/>
          <w:sz w:val="23"/>
          <w:szCs w:val="23"/>
        </w:rPr>
        <w:t xml:space="preserve"> daļā norādītie izslēgšanas nosacījumi.</w:t>
      </w:r>
    </w:p>
    <w:p w:rsidR="00147993" w:rsidRPr="005D569A" w:rsidRDefault="00C608EC" w:rsidP="00147993">
      <w:pPr>
        <w:pStyle w:val="BodyTextIndent"/>
        <w:numPr>
          <w:ilvl w:val="0"/>
          <w:numId w:val="39"/>
        </w:numPr>
        <w:spacing w:after="80"/>
        <w:rPr>
          <w:sz w:val="23"/>
          <w:szCs w:val="23"/>
        </w:rPr>
      </w:pPr>
      <w:r w:rsidRPr="005D569A">
        <w:rPr>
          <w:sz w:val="23"/>
          <w:szCs w:val="23"/>
        </w:rPr>
        <w:t xml:space="preserve">Līdz ar minēto komisija konstatē, ka atbilstoši iepirkuma Nolikumā noteiktajam piedāvājuma izvēles kritērijam – </w:t>
      </w:r>
      <w:r w:rsidR="00127137" w:rsidRPr="005D569A">
        <w:rPr>
          <w:sz w:val="23"/>
          <w:szCs w:val="23"/>
        </w:rPr>
        <w:t>saimnieciski visizdevīgākais piedāvājums</w:t>
      </w:r>
      <w:r w:rsidRPr="005D569A">
        <w:rPr>
          <w:sz w:val="23"/>
          <w:szCs w:val="23"/>
        </w:rPr>
        <w:t xml:space="preserve">, pretendents </w:t>
      </w:r>
      <w:r w:rsidR="00127137" w:rsidRPr="005D569A">
        <w:rPr>
          <w:b/>
          <w:sz w:val="23"/>
          <w:szCs w:val="23"/>
        </w:rPr>
        <w:t>SIA “</w:t>
      </w:r>
      <w:proofErr w:type="spellStart"/>
      <w:r w:rsidR="00127137" w:rsidRPr="005D569A">
        <w:rPr>
          <w:b/>
          <w:sz w:val="23"/>
          <w:szCs w:val="23"/>
        </w:rPr>
        <w:t>Deloitte</w:t>
      </w:r>
      <w:proofErr w:type="spellEnd"/>
      <w:r w:rsidR="00127137" w:rsidRPr="005D569A">
        <w:rPr>
          <w:b/>
          <w:sz w:val="23"/>
          <w:szCs w:val="23"/>
        </w:rPr>
        <w:t xml:space="preserve"> Audits Latvia” </w:t>
      </w:r>
      <w:r w:rsidRPr="005D569A">
        <w:rPr>
          <w:sz w:val="23"/>
          <w:szCs w:val="23"/>
        </w:rPr>
        <w:t xml:space="preserve"> atzīstams par uzvarētāju iepirkumā.</w:t>
      </w:r>
    </w:p>
    <w:p w:rsidR="00147993" w:rsidRPr="005D569A" w:rsidRDefault="00C608EC" w:rsidP="00147993">
      <w:pPr>
        <w:pStyle w:val="BodyTextIndent"/>
        <w:numPr>
          <w:ilvl w:val="0"/>
          <w:numId w:val="39"/>
        </w:numPr>
        <w:spacing w:after="80"/>
        <w:rPr>
          <w:sz w:val="23"/>
          <w:szCs w:val="23"/>
        </w:rPr>
      </w:pPr>
      <w:r w:rsidRPr="005D569A">
        <w:rPr>
          <w:sz w:val="23"/>
          <w:szCs w:val="23"/>
        </w:rPr>
        <w:t>Ņemot vērā minēto un pamatojoties uz Publisko iepirkumu likuma 8.</w:t>
      </w:r>
      <w:r w:rsidRPr="005D569A">
        <w:rPr>
          <w:sz w:val="23"/>
          <w:szCs w:val="23"/>
          <w:vertAlign w:val="superscript"/>
        </w:rPr>
        <w:t>2</w:t>
      </w:r>
      <w:r w:rsidRPr="005D569A">
        <w:rPr>
          <w:sz w:val="23"/>
          <w:szCs w:val="23"/>
        </w:rPr>
        <w:t xml:space="preserve"> panta devīto daļu, iepirkumu </w:t>
      </w:r>
      <w:r w:rsidRPr="005D569A">
        <w:rPr>
          <w:b/>
          <w:sz w:val="23"/>
          <w:szCs w:val="23"/>
        </w:rPr>
        <w:t>komisija nolemj</w:t>
      </w:r>
      <w:r w:rsidR="00147993" w:rsidRPr="005D569A">
        <w:rPr>
          <w:b/>
          <w:sz w:val="23"/>
          <w:szCs w:val="23"/>
        </w:rPr>
        <w:t>:</w:t>
      </w:r>
    </w:p>
    <w:p w:rsidR="007955ED" w:rsidRPr="005D569A" w:rsidRDefault="00127137" w:rsidP="00A84951">
      <w:pPr>
        <w:pStyle w:val="BodyTextIndent"/>
        <w:numPr>
          <w:ilvl w:val="1"/>
          <w:numId w:val="39"/>
        </w:numPr>
        <w:spacing w:after="80"/>
        <w:ind w:left="993" w:hanging="567"/>
        <w:rPr>
          <w:sz w:val="23"/>
          <w:szCs w:val="23"/>
        </w:rPr>
      </w:pPr>
      <w:r w:rsidRPr="005D569A">
        <w:rPr>
          <w:sz w:val="23"/>
          <w:szCs w:val="23"/>
        </w:rPr>
        <w:t xml:space="preserve">atzīt </w:t>
      </w:r>
      <w:r w:rsidRPr="005D569A">
        <w:rPr>
          <w:b/>
          <w:sz w:val="23"/>
          <w:szCs w:val="23"/>
        </w:rPr>
        <w:t>SIA “</w:t>
      </w:r>
      <w:proofErr w:type="spellStart"/>
      <w:r w:rsidRPr="005D569A">
        <w:rPr>
          <w:b/>
          <w:sz w:val="23"/>
          <w:szCs w:val="23"/>
        </w:rPr>
        <w:t>Deloitte</w:t>
      </w:r>
      <w:proofErr w:type="spellEnd"/>
      <w:r w:rsidRPr="005D569A">
        <w:rPr>
          <w:b/>
          <w:sz w:val="23"/>
          <w:szCs w:val="23"/>
        </w:rPr>
        <w:t xml:space="preserve"> Audits Latvia”</w:t>
      </w:r>
      <w:r w:rsidRPr="005D569A">
        <w:rPr>
          <w:sz w:val="23"/>
          <w:szCs w:val="23"/>
        </w:rPr>
        <w:t>, reģ.Nr.40003606960, juridiskā adrese: Grēdu iela 4A, Rīga, par uzvarētāju iepirkumā “</w:t>
      </w:r>
      <w:r w:rsidRPr="005D569A">
        <w:rPr>
          <w:bCs/>
          <w:sz w:val="23"/>
          <w:szCs w:val="23"/>
        </w:rPr>
        <w:t>Revīzijas veikšana un zvērināta revidenta ziņojuma sniegšana par Daugavpils pilsētas pašvaldības 2016.gada konsolidēto pārskatu</w:t>
      </w:r>
      <w:r w:rsidRPr="005D569A">
        <w:rPr>
          <w:sz w:val="23"/>
          <w:szCs w:val="23"/>
        </w:rPr>
        <w:t>”, identifikācijas numurs DPD 2016/162</w:t>
      </w:r>
      <w:r w:rsidR="00C608EC" w:rsidRPr="005D569A">
        <w:rPr>
          <w:sz w:val="23"/>
          <w:szCs w:val="23"/>
        </w:rPr>
        <w:t xml:space="preserve"> un piešķirt līguma slēgšanas tiesības par summu </w:t>
      </w:r>
      <w:r w:rsidR="00C608EC" w:rsidRPr="005D569A">
        <w:rPr>
          <w:b/>
          <w:sz w:val="23"/>
          <w:szCs w:val="23"/>
        </w:rPr>
        <w:t xml:space="preserve">EUR </w:t>
      </w:r>
      <w:r w:rsidR="00A84951" w:rsidRPr="005D569A">
        <w:rPr>
          <w:b/>
          <w:sz w:val="23"/>
          <w:szCs w:val="23"/>
          <w:lang w:val="en-US"/>
        </w:rPr>
        <w:t>26 400,00</w:t>
      </w:r>
      <w:r w:rsidR="00C608EC" w:rsidRPr="005D569A">
        <w:rPr>
          <w:sz w:val="23"/>
          <w:szCs w:val="23"/>
        </w:rPr>
        <w:t xml:space="preserve"> bez PVN;</w:t>
      </w:r>
    </w:p>
    <w:p w:rsidR="007955ED" w:rsidRPr="005D569A" w:rsidRDefault="00C608EC" w:rsidP="00A84951">
      <w:pPr>
        <w:pStyle w:val="BodyTextIndent"/>
        <w:numPr>
          <w:ilvl w:val="1"/>
          <w:numId w:val="39"/>
        </w:numPr>
        <w:spacing w:after="80"/>
        <w:ind w:left="993" w:hanging="567"/>
        <w:rPr>
          <w:sz w:val="23"/>
          <w:szCs w:val="23"/>
        </w:rPr>
      </w:pPr>
      <w:r w:rsidRPr="005D569A">
        <w:rPr>
          <w:sz w:val="23"/>
          <w:szCs w:val="23"/>
        </w:rPr>
        <w:t xml:space="preserve">uzdot komisijas loceklim </w:t>
      </w:r>
      <w:proofErr w:type="spellStart"/>
      <w:r w:rsidRPr="005D569A">
        <w:rPr>
          <w:sz w:val="23"/>
          <w:szCs w:val="23"/>
        </w:rPr>
        <w:t>J.Bārtul</w:t>
      </w:r>
      <w:r w:rsidR="00183059">
        <w:rPr>
          <w:sz w:val="23"/>
          <w:szCs w:val="23"/>
        </w:rPr>
        <w:t>a</w:t>
      </w:r>
      <w:r w:rsidRPr="005D569A">
        <w:rPr>
          <w:sz w:val="23"/>
          <w:szCs w:val="23"/>
        </w:rPr>
        <w:t>m</w:t>
      </w:r>
      <w:proofErr w:type="spellEnd"/>
      <w:r w:rsidRPr="005D569A">
        <w:rPr>
          <w:sz w:val="23"/>
          <w:szCs w:val="23"/>
        </w:rPr>
        <w:t xml:space="preserve"> normatīvajos aktos noteiktajā kārtībā sagatavot pretendentam informatīvu vēstuli par iepirkuma rezultātiem;</w:t>
      </w:r>
    </w:p>
    <w:p w:rsidR="00C608EC" w:rsidRPr="005D569A" w:rsidRDefault="00C608EC" w:rsidP="00A84951">
      <w:pPr>
        <w:pStyle w:val="BodyTextIndent"/>
        <w:numPr>
          <w:ilvl w:val="1"/>
          <w:numId w:val="39"/>
        </w:numPr>
        <w:spacing w:after="80"/>
        <w:ind w:left="993" w:hanging="567"/>
        <w:rPr>
          <w:sz w:val="23"/>
          <w:szCs w:val="23"/>
        </w:rPr>
      </w:pPr>
      <w:r w:rsidRPr="005D569A">
        <w:rPr>
          <w:sz w:val="23"/>
          <w:szCs w:val="23"/>
        </w:rPr>
        <w:lastRenderedPageBreak/>
        <w:t>pēc iepirkuma līguma noslēgšanas normatīvajos aktos noteiktajā kartībā publicēt informatīvu paziņojumu par noslēgto līgumu Iepirkumu uzraudzības biroja mājas lapā www.iub.gov.lv un Daugavpils pilsētas domes mājas lapā www.daugavpils.lv.</w:t>
      </w:r>
    </w:p>
    <w:p w:rsidR="00C608EC" w:rsidRPr="005D569A" w:rsidRDefault="00C608EC" w:rsidP="00C608EC">
      <w:pPr>
        <w:jc w:val="both"/>
        <w:rPr>
          <w:i/>
          <w:sz w:val="23"/>
          <w:szCs w:val="23"/>
          <w:lang w:val="lv-LV"/>
        </w:rPr>
      </w:pPr>
      <w:r w:rsidRPr="005D569A">
        <w:rPr>
          <w:i/>
          <w:sz w:val="23"/>
          <w:szCs w:val="23"/>
          <w:lang w:val="lv-LV"/>
        </w:rPr>
        <w:t>Balsojums: 4 balsis "par", "pret" - nav, "atturas" - nav.</w:t>
      </w:r>
    </w:p>
    <w:p w:rsidR="00C608EC" w:rsidRPr="005D569A" w:rsidRDefault="00C608EC" w:rsidP="00C608EC">
      <w:pPr>
        <w:ind w:left="9"/>
        <w:rPr>
          <w:sz w:val="23"/>
          <w:szCs w:val="23"/>
          <w:lang w:val="lv-LV"/>
        </w:rPr>
      </w:pPr>
    </w:p>
    <w:p w:rsidR="00C608EC" w:rsidRPr="005D569A" w:rsidRDefault="004A3F4E" w:rsidP="00C608EC">
      <w:pPr>
        <w:ind w:left="9"/>
        <w:rPr>
          <w:sz w:val="23"/>
          <w:szCs w:val="23"/>
          <w:lang w:val="lv-LV"/>
        </w:rPr>
      </w:pPr>
      <w:r>
        <w:rPr>
          <w:sz w:val="23"/>
          <w:szCs w:val="23"/>
          <w:lang w:val="lv-LV"/>
        </w:rPr>
        <w:t>SĒDE BEIDZAS plkst. 15</w:t>
      </w:r>
      <w:r w:rsidR="00C608EC" w:rsidRPr="005D569A">
        <w:rPr>
          <w:sz w:val="23"/>
          <w:szCs w:val="23"/>
          <w:lang w:val="lv-LV"/>
        </w:rPr>
        <w:t>.</w:t>
      </w:r>
      <w:r>
        <w:rPr>
          <w:sz w:val="23"/>
          <w:szCs w:val="23"/>
          <w:lang w:val="lv-LV"/>
        </w:rPr>
        <w:t>10</w:t>
      </w:r>
      <w:r w:rsidR="00C608EC" w:rsidRPr="005D569A">
        <w:rPr>
          <w:sz w:val="23"/>
          <w:szCs w:val="23"/>
          <w:lang w:val="lv-LV"/>
        </w:rPr>
        <w:t>.</w:t>
      </w:r>
    </w:p>
    <w:p w:rsidR="00C608EC" w:rsidRPr="005D569A" w:rsidRDefault="00C608EC" w:rsidP="00C608EC">
      <w:pPr>
        <w:pStyle w:val="Header"/>
        <w:tabs>
          <w:tab w:val="clear" w:pos="4153"/>
          <w:tab w:val="clear" w:pos="8306"/>
        </w:tabs>
        <w:rPr>
          <w:i/>
          <w:iCs/>
          <w:sz w:val="23"/>
          <w:szCs w:val="23"/>
          <w:lang w:val="lv-LV"/>
        </w:rPr>
      </w:pPr>
    </w:p>
    <w:p w:rsidR="00C608EC" w:rsidRPr="005D569A" w:rsidRDefault="00C608EC" w:rsidP="00C608EC">
      <w:pPr>
        <w:rPr>
          <w:sz w:val="23"/>
          <w:szCs w:val="23"/>
          <w:lang w:val="lv-LV"/>
        </w:rPr>
      </w:pPr>
      <w:r w:rsidRPr="005D569A">
        <w:rPr>
          <w:sz w:val="23"/>
          <w:szCs w:val="23"/>
          <w:lang w:val="lv-LV"/>
        </w:rPr>
        <w:t>Komisijas priekšsēdētāja</w:t>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t>J.Kornutjaka</w:t>
      </w:r>
    </w:p>
    <w:p w:rsidR="00C608EC" w:rsidRPr="005D569A" w:rsidRDefault="00C608EC" w:rsidP="00C608EC">
      <w:pPr>
        <w:rPr>
          <w:sz w:val="23"/>
          <w:szCs w:val="23"/>
          <w:lang w:val="lv-LV"/>
        </w:rPr>
      </w:pPr>
    </w:p>
    <w:p w:rsidR="00C608EC" w:rsidRPr="005D569A" w:rsidRDefault="00C608EC" w:rsidP="00C608EC">
      <w:pPr>
        <w:rPr>
          <w:sz w:val="23"/>
          <w:szCs w:val="23"/>
          <w:lang w:val="lv-LV"/>
        </w:rPr>
      </w:pPr>
      <w:r w:rsidRPr="005D569A">
        <w:rPr>
          <w:sz w:val="23"/>
          <w:szCs w:val="23"/>
          <w:lang w:val="lv-LV"/>
        </w:rPr>
        <w:t>Komisijas locekļi</w:t>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t>J.Bārtuls</w:t>
      </w:r>
    </w:p>
    <w:p w:rsidR="00A84951" w:rsidRPr="005D569A" w:rsidRDefault="00A84951" w:rsidP="00C608EC">
      <w:pPr>
        <w:rPr>
          <w:sz w:val="23"/>
          <w:szCs w:val="23"/>
          <w:lang w:val="lv-LV"/>
        </w:rPr>
      </w:pPr>
    </w:p>
    <w:p w:rsidR="00A84951" w:rsidRPr="005D569A" w:rsidRDefault="00A84951" w:rsidP="00C608EC">
      <w:pPr>
        <w:rPr>
          <w:sz w:val="23"/>
          <w:szCs w:val="23"/>
          <w:lang w:val="lv-LV"/>
        </w:rPr>
      </w:pP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proofErr w:type="spellStart"/>
      <w:r w:rsidRPr="005D569A">
        <w:rPr>
          <w:sz w:val="23"/>
          <w:szCs w:val="23"/>
          <w:lang w:val="lv-LV"/>
        </w:rPr>
        <w:t>I.Zarāne</w:t>
      </w:r>
      <w:proofErr w:type="spellEnd"/>
    </w:p>
    <w:p w:rsidR="00A84951" w:rsidRPr="005D569A" w:rsidRDefault="00A84951" w:rsidP="00C608EC">
      <w:pPr>
        <w:rPr>
          <w:sz w:val="23"/>
          <w:szCs w:val="23"/>
          <w:lang w:val="lv-LV"/>
        </w:rPr>
      </w:pPr>
    </w:p>
    <w:p w:rsidR="00A84951" w:rsidRPr="005D569A" w:rsidRDefault="00A84951" w:rsidP="00C608EC">
      <w:pPr>
        <w:rPr>
          <w:sz w:val="23"/>
          <w:szCs w:val="23"/>
          <w:lang w:val="lv-LV"/>
        </w:rPr>
      </w:pP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bookmarkStart w:id="0" w:name="_GoBack"/>
      <w:bookmarkEnd w:id="0"/>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r w:rsidRPr="005D569A">
        <w:rPr>
          <w:sz w:val="23"/>
          <w:szCs w:val="23"/>
          <w:lang w:val="lv-LV"/>
        </w:rPr>
        <w:tab/>
      </w:r>
      <w:proofErr w:type="spellStart"/>
      <w:r w:rsidRPr="005D569A">
        <w:rPr>
          <w:sz w:val="23"/>
          <w:szCs w:val="23"/>
          <w:lang w:val="lv-LV"/>
        </w:rPr>
        <w:t>E.Ugarinko</w:t>
      </w:r>
      <w:proofErr w:type="spellEnd"/>
    </w:p>
    <w:p w:rsidR="00C608EC" w:rsidRPr="005D569A" w:rsidRDefault="00C608EC" w:rsidP="00C608EC">
      <w:pPr>
        <w:rPr>
          <w:sz w:val="23"/>
          <w:szCs w:val="23"/>
          <w:lang w:val="lv-LV"/>
        </w:rPr>
      </w:pPr>
    </w:p>
    <w:p w:rsidR="00A84951" w:rsidRPr="005D569A" w:rsidRDefault="00A84951" w:rsidP="00C608EC">
      <w:pPr>
        <w:rPr>
          <w:sz w:val="23"/>
          <w:szCs w:val="23"/>
          <w:lang w:val="lv-LV"/>
        </w:rPr>
      </w:pPr>
    </w:p>
    <w:p w:rsidR="00A84951" w:rsidRPr="005D569A" w:rsidRDefault="00C608EC" w:rsidP="00A84951">
      <w:pPr>
        <w:rPr>
          <w:sz w:val="23"/>
          <w:szCs w:val="23"/>
          <w:lang w:val="lv-LV"/>
        </w:rPr>
      </w:pPr>
      <w:r w:rsidRPr="005D569A">
        <w:rPr>
          <w:sz w:val="23"/>
          <w:szCs w:val="23"/>
          <w:lang w:val="lv-LV"/>
        </w:rPr>
        <w:tab/>
      </w:r>
    </w:p>
    <w:p w:rsidR="00BF52F7" w:rsidRPr="005D569A" w:rsidRDefault="00BF52F7">
      <w:pPr>
        <w:pStyle w:val="Header"/>
        <w:tabs>
          <w:tab w:val="clear" w:pos="4153"/>
          <w:tab w:val="clear" w:pos="8306"/>
          <w:tab w:val="left" w:pos="7920"/>
        </w:tabs>
        <w:rPr>
          <w:sz w:val="23"/>
          <w:szCs w:val="23"/>
          <w:lang w:val="lv-LV"/>
        </w:rPr>
      </w:pPr>
    </w:p>
    <w:sectPr w:rsidR="00BF52F7" w:rsidRPr="005D569A" w:rsidSect="000A2F45">
      <w:headerReference w:type="even" r:id="rId8"/>
      <w:headerReference w:type="default" r:id="rId9"/>
      <w:footerReference w:type="even" r:id="rId10"/>
      <w:footerReference w:type="default" r:id="rId11"/>
      <w:footerReference w:type="first" r:id="rId12"/>
      <w:pgSz w:w="11906" w:h="16838"/>
      <w:pgMar w:top="1134" w:right="1133" w:bottom="1134" w:left="1843"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79905"/>
      <w:docPartObj>
        <w:docPartGallery w:val="Page Numbers (Bottom of Page)"/>
        <w:docPartUnique/>
      </w:docPartObj>
    </w:sdtPr>
    <w:sdtEndPr>
      <w:rPr>
        <w:noProof/>
        <w:sz w:val="22"/>
        <w:szCs w:val="22"/>
      </w:rPr>
    </w:sdtEndPr>
    <w:sdtContent>
      <w:p w:rsidR="00A85F1C" w:rsidRPr="008A0F09" w:rsidRDefault="00A85F1C">
        <w:pPr>
          <w:pStyle w:val="Footer"/>
          <w:jc w:val="center"/>
          <w:rPr>
            <w:sz w:val="22"/>
            <w:szCs w:val="22"/>
          </w:rPr>
        </w:pPr>
        <w:r w:rsidRPr="008A0F09">
          <w:rPr>
            <w:sz w:val="22"/>
            <w:szCs w:val="22"/>
          </w:rPr>
          <w:fldChar w:fldCharType="begin"/>
        </w:r>
        <w:r w:rsidRPr="008A0F09">
          <w:rPr>
            <w:sz w:val="22"/>
            <w:szCs w:val="22"/>
          </w:rPr>
          <w:instrText xml:space="preserve"> PAGE   \* MERGEFORMAT </w:instrText>
        </w:r>
        <w:r w:rsidRPr="008A0F09">
          <w:rPr>
            <w:sz w:val="22"/>
            <w:szCs w:val="22"/>
          </w:rPr>
          <w:fldChar w:fldCharType="separate"/>
        </w:r>
        <w:r w:rsidR="004A3F4E">
          <w:rPr>
            <w:noProof/>
            <w:sz w:val="22"/>
            <w:szCs w:val="22"/>
          </w:rPr>
          <w:t>4</w:t>
        </w:r>
        <w:r w:rsidRPr="008A0F09">
          <w:rPr>
            <w:noProof/>
            <w:sz w:val="22"/>
            <w:szCs w:val="22"/>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3BF6A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8"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3239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25BFD"/>
    <w:multiLevelType w:val="multilevel"/>
    <w:tmpl w:val="05FE5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5"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6"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8"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1"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2"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3"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5"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6"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8"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4"/>
  </w:num>
  <w:num w:numId="3">
    <w:abstractNumId w:val="27"/>
  </w:num>
  <w:num w:numId="4">
    <w:abstractNumId w:val="0"/>
  </w:num>
  <w:num w:numId="5">
    <w:abstractNumId w:val="25"/>
  </w:num>
  <w:num w:numId="6">
    <w:abstractNumId w:val="21"/>
  </w:num>
  <w:num w:numId="7">
    <w:abstractNumId w:val="38"/>
  </w:num>
  <w:num w:numId="8">
    <w:abstractNumId w:val="2"/>
  </w:num>
  <w:num w:numId="9">
    <w:abstractNumId w:val="22"/>
  </w:num>
  <w:num w:numId="10">
    <w:abstractNumId w:val="36"/>
  </w:num>
  <w:num w:numId="11">
    <w:abstractNumId w:val="40"/>
  </w:num>
  <w:num w:numId="12">
    <w:abstractNumId w:val="20"/>
  </w:num>
  <w:num w:numId="13">
    <w:abstractNumId w:val="14"/>
  </w:num>
  <w:num w:numId="14">
    <w:abstractNumId w:val="33"/>
  </w:num>
  <w:num w:numId="15">
    <w:abstractNumId w:val="4"/>
  </w:num>
  <w:num w:numId="16">
    <w:abstractNumId w:val="35"/>
  </w:num>
  <w:num w:numId="17">
    <w:abstractNumId w:val="39"/>
  </w:num>
  <w:num w:numId="18">
    <w:abstractNumId w:val="24"/>
  </w:num>
  <w:num w:numId="19">
    <w:abstractNumId w:val="5"/>
  </w:num>
  <w:num w:numId="20">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11"/>
  </w:num>
  <w:num w:numId="26">
    <w:abstractNumId w:val="23"/>
  </w:num>
  <w:num w:numId="27">
    <w:abstractNumId w:val="15"/>
  </w:num>
  <w:num w:numId="28">
    <w:abstractNumId w:val="19"/>
  </w:num>
  <w:num w:numId="29">
    <w:abstractNumId w:val="37"/>
  </w:num>
  <w:num w:numId="30">
    <w:abstractNumId w:val="29"/>
  </w:num>
  <w:num w:numId="31">
    <w:abstractNumId w:val="32"/>
  </w:num>
  <w:num w:numId="32">
    <w:abstractNumId w:val="6"/>
  </w:num>
  <w:num w:numId="33">
    <w:abstractNumId w:val="8"/>
  </w:num>
  <w:num w:numId="34">
    <w:abstractNumId w:val="16"/>
  </w:num>
  <w:num w:numId="35">
    <w:abstractNumId w:val="7"/>
  </w:num>
  <w:num w:numId="36">
    <w:abstractNumId w:val="26"/>
  </w:num>
  <w:num w:numId="37">
    <w:abstractNumId w:val="12"/>
  </w:num>
  <w:num w:numId="38">
    <w:abstractNumId w:val="18"/>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10DFC"/>
    <w:rsid w:val="00010F92"/>
    <w:rsid w:val="00021DFF"/>
    <w:rsid w:val="000227C8"/>
    <w:rsid w:val="00040C2B"/>
    <w:rsid w:val="000609C0"/>
    <w:rsid w:val="00066812"/>
    <w:rsid w:val="0007434C"/>
    <w:rsid w:val="000756E3"/>
    <w:rsid w:val="000772C2"/>
    <w:rsid w:val="0008610B"/>
    <w:rsid w:val="0009060C"/>
    <w:rsid w:val="0009142D"/>
    <w:rsid w:val="000A2F45"/>
    <w:rsid w:val="000A3AD9"/>
    <w:rsid w:val="000A52ED"/>
    <w:rsid w:val="000B2307"/>
    <w:rsid w:val="000B53CE"/>
    <w:rsid w:val="000C17BA"/>
    <w:rsid w:val="000C51FC"/>
    <w:rsid w:val="000C637D"/>
    <w:rsid w:val="000D4A4F"/>
    <w:rsid w:val="000F19FE"/>
    <w:rsid w:val="00113BF0"/>
    <w:rsid w:val="00125E1A"/>
    <w:rsid w:val="0012668C"/>
    <w:rsid w:val="00127137"/>
    <w:rsid w:val="001321C7"/>
    <w:rsid w:val="00133DEA"/>
    <w:rsid w:val="00136650"/>
    <w:rsid w:val="00143CAD"/>
    <w:rsid w:val="00144260"/>
    <w:rsid w:val="00144E46"/>
    <w:rsid w:val="00147993"/>
    <w:rsid w:val="001505CD"/>
    <w:rsid w:val="00151584"/>
    <w:rsid w:val="00153EDE"/>
    <w:rsid w:val="001545F2"/>
    <w:rsid w:val="00160B74"/>
    <w:rsid w:val="00166F7D"/>
    <w:rsid w:val="001746DA"/>
    <w:rsid w:val="00183059"/>
    <w:rsid w:val="0019395D"/>
    <w:rsid w:val="001A12B0"/>
    <w:rsid w:val="001B0240"/>
    <w:rsid w:val="001B04C3"/>
    <w:rsid w:val="001B12AE"/>
    <w:rsid w:val="001B1C3F"/>
    <w:rsid w:val="001B2636"/>
    <w:rsid w:val="001B3FCA"/>
    <w:rsid w:val="001B7F56"/>
    <w:rsid w:val="001D113A"/>
    <w:rsid w:val="001D498A"/>
    <w:rsid w:val="001E24AC"/>
    <w:rsid w:val="00205B32"/>
    <w:rsid w:val="00214BBA"/>
    <w:rsid w:val="00224E36"/>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E0F72"/>
    <w:rsid w:val="002E5E93"/>
    <w:rsid w:val="002F5C4D"/>
    <w:rsid w:val="0030347F"/>
    <w:rsid w:val="00324E4B"/>
    <w:rsid w:val="003340F6"/>
    <w:rsid w:val="00342C01"/>
    <w:rsid w:val="003517F0"/>
    <w:rsid w:val="00362B67"/>
    <w:rsid w:val="00374C29"/>
    <w:rsid w:val="00385B2F"/>
    <w:rsid w:val="00387222"/>
    <w:rsid w:val="00392E65"/>
    <w:rsid w:val="003976F4"/>
    <w:rsid w:val="003B35B3"/>
    <w:rsid w:val="003B4260"/>
    <w:rsid w:val="00402288"/>
    <w:rsid w:val="0040705E"/>
    <w:rsid w:val="00414C66"/>
    <w:rsid w:val="00416FBB"/>
    <w:rsid w:val="004355FC"/>
    <w:rsid w:val="00444930"/>
    <w:rsid w:val="00444A21"/>
    <w:rsid w:val="0044786B"/>
    <w:rsid w:val="0045071A"/>
    <w:rsid w:val="0046063D"/>
    <w:rsid w:val="00461053"/>
    <w:rsid w:val="0046507E"/>
    <w:rsid w:val="004719BD"/>
    <w:rsid w:val="004733AB"/>
    <w:rsid w:val="004763FC"/>
    <w:rsid w:val="004A3F4E"/>
    <w:rsid w:val="004C0F1C"/>
    <w:rsid w:val="004C34D7"/>
    <w:rsid w:val="004C3D41"/>
    <w:rsid w:val="004C4AEA"/>
    <w:rsid w:val="004D65A7"/>
    <w:rsid w:val="00510CBC"/>
    <w:rsid w:val="005115A0"/>
    <w:rsid w:val="005269D0"/>
    <w:rsid w:val="00526BD8"/>
    <w:rsid w:val="00551402"/>
    <w:rsid w:val="00555037"/>
    <w:rsid w:val="00562601"/>
    <w:rsid w:val="00565DE2"/>
    <w:rsid w:val="00567890"/>
    <w:rsid w:val="005717CD"/>
    <w:rsid w:val="00571F9B"/>
    <w:rsid w:val="005863D6"/>
    <w:rsid w:val="00592105"/>
    <w:rsid w:val="005A5A27"/>
    <w:rsid w:val="005A6314"/>
    <w:rsid w:val="005B3094"/>
    <w:rsid w:val="005B3F3E"/>
    <w:rsid w:val="005C4838"/>
    <w:rsid w:val="005C5625"/>
    <w:rsid w:val="005D3EC9"/>
    <w:rsid w:val="005D569A"/>
    <w:rsid w:val="005E2A2F"/>
    <w:rsid w:val="005E30CF"/>
    <w:rsid w:val="005E4187"/>
    <w:rsid w:val="005F2830"/>
    <w:rsid w:val="005F7605"/>
    <w:rsid w:val="0060415D"/>
    <w:rsid w:val="00613DF8"/>
    <w:rsid w:val="00615FF3"/>
    <w:rsid w:val="00623180"/>
    <w:rsid w:val="0062364B"/>
    <w:rsid w:val="00643030"/>
    <w:rsid w:val="00644256"/>
    <w:rsid w:val="0064628E"/>
    <w:rsid w:val="006628FE"/>
    <w:rsid w:val="006714DA"/>
    <w:rsid w:val="00680875"/>
    <w:rsid w:val="006A28AF"/>
    <w:rsid w:val="006B106D"/>
    <w:rsid w:val="006B4E82"/>
    <w:rsid w:val="006C0328"/>
    <w:rsid w:val="006D2B4D"/>
    <w:rsid w:val="006D3112"/>
    <w:rsid w:val="006D34D0"/>
    <w:rsid w:val="006E2A10"/>
    <w:rsid w:val="006F29BA"/>
    <w:rsid w:val="006F57DE"/>
    <w:rsid w:val="006F680A"/>
    <w:rsid w:val="00700BCD"/>
    <w:rsid w:val="00702753"/>
    <w:rsid w:val="00703FE1"/>
    <w:rsid w:val="00704B16"/>
    <w:rsid w:val="00705081"/>
    <w:rsid w:val="00710B91"/>
    <w:rsid w:val="00714CD3"/>
    <w:rsid w:val="007221DD"/>
    <w:rsid w:val="0073712C"/>
    <w:rsid w:val="00741F5A"/>
    <w:rsid w:val="0074690D"/>
    <w:rsid w:val="0075087F"/>
    <w:rsid w:val="007512FB"/>
    <w:rsid w:val="00760C0F"/>
    <w:rsid w:val="00761B1F"/>
    <w:rsid w:val="0077194C"/>
    <w:rsid w:val="007719F3"/>
    <w:rsid w:val="00773578"/>
    <w:rsid w:val="007800A8"/>
    <w:rsid w:val="007825AB"/>
    <w:rsid w:val="0079498A"/>
    <w:rsid w:val="007955ED"/>
    <w:rsid w:val="00796448"/>
    <w:rsid w:val="007A1524"/>
    <w:rsid w:val="007A7B0F"/>
    <w:rsid w:val="007D5070"/>
    <w:rsid w:val="007D5461"/>
    <w:rsid w:val="007E0199"/>
    <w:rsid w:val="007E6715"/>
    <w:rsid w:val="007F27EA"/>
    <w:rsid w:val="007F3715"/>
    <w:rsid w:val="0080062B"/>
    <w:rsid w:val="0080164F"/>
    <w:rsid w:val="00802A60"/>
    <w:rsid w:val="008217D0"/>
    <w:rsid w:val="0082400E"/>
    <w:rsid w:val="00860FA1"/>
    <w:rsid w:val="00865AB8"/>
    <w:rsid w:val="00870620"/>
    <w:rsid w:val="00880630"/>
    <w:rsid w:val="00884933"/>
    <w:rsid w:val="00885857"/>
    <w:rsid w:val="008A0F09"/>
    <w:rsid w:val="008A12E4"/>
    <w:rsid w:val="008B6D08"/>
    <w:rsid w:val="008B6DAC"/>
    <w:rsid w:val="008D79EF"/>
    <w:rsid w:val="008E0EC4"/>
    <w:rsid w:val="008F00ED"/>
    <w:rsid w:val="008F2711"/>
    <w:rsid w:val="009021C7"/>
    <w:rsid w:val="009067FD"/>
    <w:rsid w:val="009140E6"/>
    <w:rsid w:val="0091716F"/>
    <w:rsid w:val="00924309"/>
    <w:rsid w:val="009258E2"/>
    <w:rsid w:val="00927063"/>
    <w:rsid w:val="00952865"/>
    <w:rsid w:val="00953308"/>
    <w:rsid w:val="00954E45"/>
    <w:rsid w:val="0096144F"/>
    <w:rsid w:val="009623C8"/>
    <w:rsid w:val="00962601"/>
    <w:rsid w:val="00970AE4"/>
    <w:rsid w:val="00971244"/>
    <w:rsid w:val="00974936"/>
    <w:rsid w:val="009749E7"/>
    <w:rsid w:val="0098195A"/>
    <w:rsid w:val="0098233C"/>
    <w:rsid w:val="00990AAF"/>
    <w:rsid w:val="009A1FB7"/>
    <w:rsid w:val="009A2A34"/>
    <w:rsid w:val="009A767E"/>
    <w:rsid w:val="009C7C6C"/>
    <w:rsid w:val="009E48F9"/>
    <w:rsid w:val="009F08E8"/>
    <w:rsid w:val="00A023A9"/>
    <w:rsid w:val="00A077AB"/>
    <w:rsid w:val="00A10E9F"/>
    <w:rsid w:val="00A22BE4"/>
    <w:rsid w:val="00A2506E"/>
    <w:rsid w:val="00A549BD"/>
    <w:rsid w:val="00A568FD"/>
    <w:rsid w:val="00A74751"/>
    <w:rsid w:val="00A75F0D"/>
    <w:rsid w:val="00A75F8C"/>
    <w:rsid w:val="00A84951"/>
    <w:rsid w:val="00A85F1C"/>
    <w:rsid w:val="00A90984"/>
    <w:rsid w:val="00AA29F3"/>
    <w:rsid w:val="00AA5090"/>
    <w:rsid w:val="00AB3B9E"/>
    <w:rsid w:val="00AC0955"/>
    <w:rsid w:val="00AC27E4"/>
    <w:rsid w:val="00AC4C48"/>
    <w:rsid w:val="00AD0072"/>
    <w:rsid w:val="00AD2B21"/>
    <w:rsid w:val="00AF1D06"/>
    <w:rsid w:val="00AF6747"/>
    <w:rsid w:val="00B03DF4"/>
    <w:rsid w:val="00B12314"/>
    <w:rsid w:val="00B228D2"/>
    <w:rsid w:val="00B24FEC"/>
    <w:rsid w:val="00B37E37"/>
    <w:rsid w:val="00B4193B"/>
    <w:rsid w:val="00B42ECD"/>
    <w:rsid w:val="00B50DF2"/>
    <w:rsid w:val="00B623B2"/>
    <w:rsid w:val="00B63F01"/>
    <w:rsid w:val="00B73D8E"/>
    <w:rsid w:val="00B95D0F"/>
    <w:rsid w:val="00BA09EF"/>
    <w:rsid w:val="00BA3A4E"/>
    <w:rsid w:val="00BA68F8"/>
    <w:rsid w:val="00BB0FE7"/>
    <w:rsid w:val="00BC3E91"/>
    <w:rsid w:val="00BD4336"/>
    <w:rsid w:val="00BD707C"/>
    <w:rsid w:val="00BE1031"/>
    <w:rsid w:val="00BE22DE"/>
    <w:rsid w:val="00BE7D0D"/>
    <w:rsid w:val="00BF0275"/>
    <w:rsid w:val="00BF1C2D"/>
    <w:rsid w:val="00BF52F7"/>
    <w:rsid w:val="00C02790"/>
    <w:rsid w:val="00C036F3"/>
    <w:rsid w:val="00C038EF"/>
    <w:rsid w:val="00C065B2"/>
    <w:rsid w:val="00C07D0E"/>
    <w:rsid w:val="00C10E84"/>
    <w:rsid w:val="00C14953"/>
    <w:rsid w:val="00C52D71"/>
    <w:rsid w:val="00C608EC"/>
    <w:rsid w:val="00C61BDD"/>
    <w:rsid w:val="00C65BD9"/>
    <w:rsid w:val="00C934D0"/>
    <w:rsid w:val="00CA11D3"/>
    <w:rsid w:val="00CA1C10"/>
    <w:rsid w:val="00CA2085"/>
    <w:rsid w:val="00CB35CE"/>
    <w:rsid w:val="00CB658A"/>
    <w:rsid w:val="00CC6537"/>
    <w:rsid w:val="00CD0F12"/>
    <w:rsid w:val="00CE672B"/>
    <w:rsid w:val="00CF3985"/>
    <w:rsid w:val="00D047A5"/>
    <w:rsid w:val="00D17584"/>
    <w:rsid w:val="00D17760"/>
    <w:rsid w:val="00D20ADB"/>
    <w:rsid w:val="00D27475"/>
    <w:rsid w:val="00D32DBE"/>
    <w:rsid w:val="00D3347D"/>
    <w:rsid w:val="00D352C0"/>
    <w:rsid w:val="00D5111A"/>
    <w:rsid w:val="00D548AD"/>
    <w:rsid w:val="00D54907"/>
    <w:rsid w:val="00D602F7"/>
    <w:rsid w:val="00D62342"/>
    <w:rsid w:val="00D6254A"/>
    <w:rsid w:val="00D7683A"/>
    <w:rsid w:val="00D87E57"/>
    <w:rsid w:val="00D9118F"/>
    <w:rsid w:val="00DC4268"/>
    <w:rsid w:val="00DD686F"/>
    <w:rsid w:val="00DD6FCE"/>
    <w:rsid w:val="00DE2CAB"/>
    <w:rsid w:val="00DE7051"/>
    <w:rsid w:val="00DF297F"/>
    <w:rsid w:val="00DF76DB"/>
    <w:rsid w:val="00E03BE1"/>
    <w:rsid w:val="00E063B9"/>
    <w:rsid w:val="00E07171"/>
    <w:rsid w:val="00E1332D"/>
    <w:rsid w:val="00E15E7F"/>
    <w:rsid w:val="00E204C8"/>
    <w:rsid w:val="00E21739"/>
    <w:rsid w:val="00E35A93"/>
    <w:rsid w:val="00E41337"/>
    <w:rsid w:val="00E4710A"/>
    <w:rsid w:val="00E56149"/>
    <w:rsid w:val="00E704B3"/>
    <w:rsid w:val="00E8793B"/>
    <w:rsid w:val="00E9076E"/>
    <w:rsid w:val="00E90C48"/>
    <w:rsid w:val="00E91459"/>
    <w:rsid w:val="00E9329F"/>
    <w:rsid w:val="00EA28BB"/>
    <w:rsid w:val="00EA5F86"/>
    <w:rsid w:val="00EB0375"/>
    <w:rsid w:val="00EB0434"/>
    <w:rsid w:val="00EB048F"/>
    <w:rsid w:val="00EB755C"/>
    <w:rsid w:val="00EC77D7"/>
    <w:rsid w:val="00ED0563"/>
    <w:rsid w:val="00EE61D6"/>
    <w:rsid w:val="00F01A6E"/>
    <w:rsid w:val="00F11057"/>
    <w:rsid w:val="00F1452F"/>
    <w:rsid w:val="00F162B5"/>
    <w:rsid w:val="00F24986"/>
    <w:rsid w:val="00F33BA7"/>
    <w:rsid w:val="00F433E7"/>
    <w:rsid w:val="00F434E7"/>
    <w:rsid w:val="00F437C0"/>
    <w:rsid w:val="00F44168"/>
    <w:rsid w:val="00F46F63"/>
    <w:rsid w:val="00F55E03"/>
    <w:rsid w:val="00F561B3"/>
    <w:rsid w:val="00F748E4"/>
    <w:rsid w:val="00FA563C"/>
    <w:rsid w:val="00FA7DBA"/>
    <w:rsid w:val="00FB1232"/>
    <w:rsid w:val="00FB6796"/>
    <w:rsid w:val="00FC5A33"/>
    <w:rsid w:val="00FC6B14"/>
    <w:rsid w:val="00FD248E"/>
    <w:rsid w:val="00FD298C"/>
    <w:rsid w:val="00FD3489"/>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93A6-7320-4AB9-92FA-53947C99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Pages>
  <Words>971</Words>
  <Characters>7337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130</cp:revision>
  <cp:lastPrinted>2016-09-26T11:15:00Z</cp:lastPrinted>
  <dcterms:created xsi:type="dcterms:W3CDTF">2015-04-30T08:10:00Z</dcterms:created>
  <dcterms:modified xsi:type="dcterms:W3CDTF">2016-09-26T12:15:00Z</dcterms:modified>
</cp:coreProperties>
</file>